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ayout w:type="fixed"/>
        <w:tblLook w:val="04A0"/>
      </w:tblPr>
      <w:tblGrid>
        <w:gridCol w:w="6413"/>
        <w:gridCol w:w="3334"/>
      </w:tblGrid>
      <w:tr w:rsidR="00B327A1" w:rsidRPr="005D03D4" w:rsidTr="005D03D4">
        <w:trPr>
          <w:trHeight w:val="1075"/>
          <w:jc w:val="center"/>
        </w:trPr>
        <w:tc>
          <w:tcPr>
            <w:tcW w:w="6413" w:type="dxa"/>
            <w:vAlign w:val="center"/>
          </w:tcPr>
          <w:p w:rsidR="00B327A1" w:rsidRPr="005D03D4" w:rsidRDefault="003D6961" w:rsidP="005D03D4">
            <w:pPr>
              <w:spacing w:after="0" w:line="240" w:lineRule="auto"/>
              <w:rPr>
                <w:rFonts w:ascii="Times New Roman" w:hAnsi="Times New Roman"/>
              </w:rPr>
            </w:pPr>
            <w:r>
              <w:rPr>
                <w:noProof/>
                <w:lang w:eastAsia="pt-PT"/>
              </w:rPr>
              <w:drawing>
                <wp:anchor distT="0" distB="0" distL="114300" distR="114300" simplePos="0" relativeHeight="251657728" behindDoc="1" locked="0" layoutInCell="1" allowOverlap="1">
                  <wp:simplePos x="0" y="0"/>
                  <wp:positionH relativeFrom="column">
                    <wp:posOffset>588645</wp:posOffset>
                  </wp:positionH>
                  <wp:positionV relativeFrom="paragraph">
                    <wp:posOffset>95250</wp:posOffset>
                  </wp:positionV>
                  <wp:extent cx="1795145" cy="608330"/>
                  <wp:effectExtent l="0" t="0" r="0" b="0"/>
                  <wp:wrapTight wrapText="bothSides">
                    <wp:wrapPolygon edited="0">
                      <wp:start x="1834" y="4735"/>
                      <wp:lineTo x="688" y="11499"/>
                      <wp:lineTo x="1375" y="16234"/>
                      <wp:lineTo x="15816" y="16234"/>
                      <wp:lineTo x="15816" y="15557"/>
                      <wp:lineTo x="20630" y="10823"/>
                      <wp:lineTo x="20630" y="9470"/>
                      <wp:lineTo x="15816" y="4735"/>
                      <wp:lineTo x="1834" y="4735"/>
                    </wp:wrapPolygon>
                  </wp:wrapTight>
                  <wp:docPr id="4" name="Imagem 3" descr="novo log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novo logo ME"/>
                          <pic:cNvPicPr>
                            <a:picLocks noChangeAspect="1" noChangeArrowheads="1"/>
                          </pic:cNvPicPr>
                        </pic:nvPicPr>
                        <pic:blipFill>
                          <a:blip r:embed="rId7"/>
                          <a:srcRect/>
                          <a:stretch>
                            <a:fillRect/>
                          </a:stretch>
                        </pic:blipFill>
                        <pic:spPr bwMode="auto">
                          <a:xfrm>
                            <a:off x="0" y="0"/>
                            <a:ext cx="1795145" cy="608330"/>
                          </a:xfrm>
                          <a:prstGeom prst="rect">
                            <a:avLst/>
                          </a:prstGeom>
                          <a:noFill/>
                          <a:ln w="9525">
                            <a:noFill/>
                            <a:miter lim="800000"/>
                            <a:headEnd/>
                            <a:tailEnd/>
                          </a:ln>
                        </pic:spPr>
                      </pic:pic>
                    </a:graphicData>
                  </a:graphic>
                </wp:anchor>
              </w:drawing>
            </w:r>
          </w:p>
        </w:tc>
        <w:tc>
          <w:tcPr>
            <w:tcW w:w="3334" w:type="dxa"/>
            <w:tcBorders>
              <w:top w:val="single" w:sz="4" w:space="0" w:color="auto"/>
              <w:bottom w:val="single" w:sz="4" w:space="0" w:color="auto"/>
            </w:tcBorders>
            <w:vAlign w:val="center"/>
          </w:tcPr>
          <w:p w:rsidR="00B327A1" w:rsidRPr="005D03D4" w:rsidRDefault="00846D99" w:rsidP="005D03D4">
            <w:pPr>
              <w:spacing w:after="0" w:line="240" w:lineRule="auto"/>
              <w:jc w:val="center"/>
              <w:rPr>
                <w:rFonts w:ascii="Times New Roman" w:hAnsi="Times New Roman"/>
                <w:b/>
                <w:sz w:val="24"/>
                <w:szCs w:val="24"/>
              </w:rPr>
            </w:pPr>
            <w:r w:rsidRPr="005D03D4">
              <w:rPr>
                <w:rFonts w:ascii="Times New Roman" w:hAnsi="Times New Roman"/>
                <w:b/>
                <w:sz w:val="24"/>
                <w:szCs w:val="24"/>
              </w:rPr>
              <w:t xml:space="preserve">Ano Letivo </w:t>
            </w:r>
            <w:r w:rsidR="00FB2FA3" w:rsidRPr="005D03D4">
              <w:rPr>
                <w:rFonts w:ascii="Times New Roman" w:hAnsi="Times New Roman"/>
                <w:b/>
                <w:sz w:val="24"/>
                <w:szCs w:val="24"/>
              </w:rPr>
              <w:t>20</w:t>
            </w:r>
            <w:r w:rsidR="00DD6CAD">
              <w:rPr>
                <w:rFonts w:ascii="Times New Roman" w:hAnsi="Times New Roman"/>
                <w:b/>
                <w:sz w:val="24"/>
                <w:szCs w:val="24"/>
              </w:rPr>
              <w:t>2</w:t>
            </w:r>
            <w:r w:rsidR="00E87D3A">
              <w:rPr>
                <w:rFonts w:ascii="Times New Roman" w:hAnsi="Times New Roman"/>
                <w:b/>
                <w:sz w:val="24"/>
                <w:szCs w:val="24"/>
              </w:rPr>
              <w:t>2</w:t>
            </w:r>
            <w:r w:rsidR="00347D12">
              <w:rPr>
                <w:rFonts w:ascii="Times New Roman" w:hAnsi="Times New Roman"/>
                <w:b/>
                <w:sz w:val="24"/>
                <w:szCs w:val="24"/>
              </w:rPr>
              <w:t>/</w:t>
            </w:r>
            <w:r w:rsidR="00FB2FA3" w:rsidRPr="005D03D4">
              <w:rPr>
                <w:rFonts w:ascii="Times New Roman" w:hAnsi="Times New Roman"/>
                <w:b/>
                <w:sz w:val="24"/>
                <w:szCs w:val="24"/>
              </w:rPr>
              <w:t>20</w:t>
            </w:r>
            <w:r w:rsidR="00347D12">
              <w:rPr>
                <w:rFonts w:ascii="Times New Roman" w:hAnsi="Times New Roman"/>
                <w:b/>
                <w:sz w:val="24"/>
                <w:szCs w:val="24"/>
              </w:rPr>
              <w:t>2</w:t>
            </w:r>
            <w:r w:rsidR="00E87D3A">
              <w:rPr>
                <w:rFonts w:ascii="Times New Roman" w:hAnsi="Times New Roman"/>
                <w:b/>
                <w:sz w:val="24"/>
                <w:szCs w:val="24"/>
              </w:rPr>
              <w:t>3</w:t>
            </w:r>
          </w:p>
        </w:tc>
      </w:tr>
    </w:tbl>
    <w:p w:rsidR="00740B44" w:rsidRPr="00806C8F" w:rsidRDefault="00740B44" w:rsidP="00813FD8">
      <w:pPr>
        <w:spacing w:line="240" w:lineRule="auto"/>
        <w:rPr>
          <w:rFonts w:ascii="Times New Roman" w:hAnsi="Times New Roman"/>
        </w:rPr>
      </w:pPr>
    </w:p>
    <w:tbl>
      <w:tblPr>
        <w:tblW w:w="0" w:type="auto"/>
        <w:jc w:val="center"/>
        <w:tblLook w:val="04A0"/>
      </w:tblPr>
      <w:tblGrid>
        <w:gridCol w:w="2802"/>
        <w:gridCol w:w="6945"/>
      </w:tblGrid>
      <w:tr w:rsidR="001E00BE" w:rsidRPr="005D03D4" w:rsidTr="005D03D4">
        <w:trPr>
          <w:trHeight w:val="952"/>
          <w:jc w:val="center"/>
        </w:trPr>
        <w:tc>
          <w:tcPr>
            <w:tcW w:w="9747" w:type="dxa"/>
            <w:gridSpan w:val="2"/>
            <w:tcBorders>
              <w:top w:val="single" w:sz="4" w:space="0" w:color="auto"/>
              <w:bottom w:val="single" w:sz="4" w:space="0" w:color="auto"/>
            </w:tcBorders>
            <w:vAlign w:val="center"/>
          </w:tcPr>
          <w:p w:rsidR="001E00BE" w:rsidRPr="005D03D4" w:rsidRDefault="00806C8F" w:rsidP="005D03D4">
            <w:pPr>
              <w:spacing w:after="0"/>
              <w:ind w:firstLine="175"/>
              <w:jc w:val="center"/>
              <w:rPr>
                <w:rFonts w:ascii="Times New Roman" w:hAnsi="Times New Roman"/>
                <w:b/>
                <w:sz w:val="30"/>
                <w:szCs w:val="30"/>
              </w:rPr>
            </w:pPr>
            <w:r w:rsidRPr="005D03D4">
              <w:rPr>
                <w:rFonts w:ascii="Times New Roman" w:hAnsi="Times New Roman"/>
                <w:b/>
                <w:sz w:val="30"/>
                <w:szCs w:val="30"/>
              </w:rPr>
              <w:t>INFORMAÇÃO-</w:t>
            </w:r>
            <w:r w:rsidR="001E00BE" w:rsidRPr="005D03D4">
              <w:rPr>
                <w:rFonts w:ascii="Times New Roman" w:hAnsi="Times New Roman"/>
                <w:b/>
                <w:sz w:val="30"/>
                <w:szCs w:val="30"/>
              </w:rPr>
              <w:t xml:space="preserve">PROVA DE EQUIVALÊNCIA À FREQUÊNCIA </w:t>
            </w:r>
          </w:p>
          <w:p w:rsidR="00806C8F" w:rsidRPr="005D03D4" w:rsidRDefault="003130B2" w:rsidP="005D03D4">
            <w:pPr>
              <w:autoSpaceDE w:val="0"/>
              <w:autoSpaceDN w:val="0"/>
              <w:adjustRightInd w:val="0"/>
              <w:spacing w:after="0" w:line="240" w:lineRule="auto"/>
              <w:jc w:val="center"/>
              <w:rPr>
                <w:rFonts w:ascii="Times New Roman" w:hAnsi="Times New Roman"/>
                <w:bCs/>
                <w:i/>
                <w:sz w:val="20"/>
                <w:szCs w:val="20"/>
              </w:rPr>
            </w:pPr>
            <w:r w:rsidRPr="005D03D4">
              <w:rPr>
                <w:rFonts w:ascii="Times New Roman" w:hAnsi="Times New Roman"/>
                <w:bCs/>
                <w:i/>
                <w:sz w:val="20"/>
                <w:szCs w:val="20"/>
              </w:rPr>
              <w:t>Decreto-Lei n.º 139/2012, de 5 de julho</w:t>
            </w:r>
          </w:p>
        </w:tc>
      </w:tr>
      <w:tr w:rsidR="001E00BE" w:rsidRPr="005D03D4" w:rsidTr="005D03D4">
        <w:trPr>
          <w:trHeight w:val="680"/>
          <w:jc w:val="center"/>
        </w:trPr>
        <w:tc>
          <w:tcPr>
            <w:tcW w:w="2802" w:type="dxa"/>
            <w:tcBorders>
              <w:top w:val="single" w:sz="4" w:space="0" w:color="auto"/>
            </w:tcBorders>
            <w:vAlign w:val="center"/>
          </w:tcPr>
          <w:p w:rsidR="001E00BE" w:rsidRPr="005D03D4" w:rsidRDefault="001E00BE" w:rsidP="005D03D4">
            <w:pPr>
              <w:spacing w:after="0" w:line="240" w:lineRule="auto"/>
              <w:jc w:val="right"/>
              <w:rPr>
                <w:rFonts w:ascii="Times New Roman" w:hAnsi="Times New Roman"/>
                <w:b/>
              </w:rPr>
            </w:pPr>
            <w:r w:rsidRPr="005D03D4">
              <w:rPr>
                <w:rFonts w:ascii="Times New Roman" w:hAnsi="Times New Roman"/>
                <w:b/>
              </w:rPr>
              <w:t>Disciplina:</w:t>
            </w:r>
          </w:p>
        </w:tc>
        <w:tc>
          <w:tcPr>
            <w:tcW w:w="6945" w:type="dxa"/>
            <w:tcBorders>
              <w:top w:val="single" w:sz="4" w:space="0" w:color="auto"/>
            </w:tcBorders>
            <w:vAlign w:val="center"/>
          </w:tcPr>
          <w:p w:rsidR="001E00BE" w:rsidRPr="005D03D4" w:rsidRDefault="00D12D6F" w:rsidP="00190816">
            <w:pPr>
              <w:spacing w:after="0" w:line="240" w:lineRule="auto"/>
              <w:ind w:firstLine="175"/>
              <w:jc w:val="both"/>
              <w:rPr>
                <w:rFonts w:ascii="Times New Roman" w:hAnsi="Times New Roman"/>
                <w:b/>
              </w:rPr>
            </w:pPr>
            <w:r>
              <w:rPr>
                <w:rFonts w:ascii="Times New Roman" w:hAnsi="Times New Roman"/>
                <w:b/>
              </w:rPr>
              <w:t xml:space="preserve">Espanhol (Formação Geral – Nível de </w:t>
            </w:r>
            <w:r w:rsidR="00190816">
              <w:rPr>
                <w:rFonts w:ascii="Times New Roman" w:hAnsi="Times New Roman"/>
                <w:b/>
              </w:rPr>
              <w:t>Iniciação</w:t>
            </w:r>
            <w:r>
              <w:rPr>
                <w:rFonts w:ascii="Times New Roman" w:hAnsi="Times New Roman"/>
                <w:b/>
              </w:rPr>
              <w:t>)</w:t>
            </w:r>
          </w:p>
        </w:tc>
      </w:tr>
      <w:tr w:rsidR="001E00BE" w:rsidRPr="005D03D4" w:rsidTr="005D03D4">
        <w:trPr>
          <w:trHeight w:val="680"/>
          <w:jc w:val="center"/>
        </w:trPr>
        <w:tc>
          <w:tcPr>
            <w:tcW w:w="2802" w:type="dxa"/>
            <w:vAlign w:val="center"/>
          </w:tcPr>
          <w:p w:rsidR="001E00BE" w:rsidRPr="005D03D4" w:rsidRDefault="00875FC8" w:rsidP="005D03D4">
            <w:pPr>
              <w:spacing w:after="0" w:line="240" w:lineRule="auto"/>
              <w:jc w:val="right"/>
              <w:rPr>
                <w:rFonts w:ascii="Times New Roman" w:hAnsi="Times New Roman"/>
                <w:b/>
              </w:rPr>
            </w:pPr>
            <w:r w:rsidRPr="005D03D4">
              <w:rPr>
                <w:rFonts w:ascii="Times New Roman" w:hAnsi="Times New Roman"/>
                <w:b/>
              </w:rPr>
              <w:t>Prova/</w:t>
            </w:r>
            <w:r w:rsidR="001E00BE" w:rsidRPr="005D03D4">
              <w:rPr>
                <w:rFonts w:ascii="Times New Roman" w:hAnsi="Times New Roman"/>
                <w:b/>
              </w:rPr>
              <w:t>Código:</w:t>
            </w:r>
          </w:p>
        </w:tc>
        <w:tc>
          <w:tcPr>
            <w:tcW w:w="6945" w:type="dxa"/>
            <w:vAlign w:val="center"/>
          </w:tcPr>
          <w:p w:rsidR="001E00BE" w:rsidRPr="005D03D4" w:rsidRDefault="00D12D6F" w:rsidP="00190816">
            <w:pPr>
              <w:spacing w:after="0" w:line="240" w:lineRule="auto"/>
              <w:ind w:firstLine="175"/>
              <w:jc w:val="both"/>
              <w:rPr>
                <w:rFonts w:ascii="Times New Roman" w:hAnsi="Times New Roman"/>
                <w:b/>
              </w:rPr>
            </w:pPr>
            <w:r>
              <w:rPr>
                <w:rFonts w:ascii="Times New Roman" w:hAnsi="Times New Roman"/>
                <w:b/>
              </w:rPr>
              <w:t>3</w:t>
            </w:r>
            <w:r w:rsidR="00190816">
              <w:rPr>
                <w:rFonts w:ascii="Times New Roman" w:hAnsi="Times New Roman"/>
                <w:b/>
              </w:rPr>
              <w:t>75</w:t>
            </w:r>
          </w:p>
        </w:tc>
      </w:tr>
      <w:tr w:rsidR="001E00BE" w:rsidRPr="005D03D4" w:rsidTr="005D03D4">
        <w:trPr>
          <w:trHeight w:val="680"/>
          <w:jc w:val="center"/>
        </w:trPr>
        <w:tc>
          <w:tcPr>
            <w:tcW w:w="2802" w:type="dxa"/>
            <w:tcBorders>
              <w:bottom w:val="single" w:sz="4" w:space="0" w:color="auto"/>
            </w:tcBorders>
            <w:vAlign w:val="center"/>
          </w:tcPr>
          <w:p w:rsidR="001E00BE" w:rsidRPr="005D03D4" w:rsidRDefault="001E00BE" w:rsidP="005D03D4">
            <w:pPr>
              <w:spacing w:after="0" w:line="240" w:lineRule="auto"/>
              <w:jc w:val="right"/>
              <w:rPr>
                <w:rFonts w:ascii="Times New Roman" w:hAnsi="Times New Roman"/>
                <w:b/>
              </w:rPr>
            </w:pPr>
            <w:r w:rsidRPr="005D03D4">
              <w:rPr>
                <w:rFonts w:ascii="Times New Roman" w:hAnsi="Times New Roman"/>
                <w:b/>
              </w:rPr>
              <w:t>Ano</w:t>
            </w:r>
            <w:r w:rsidR="00875FC8" w:rsidRPr="005D03D4">
              <w:rPr>
                <w:rFonts w:ascii="Times New Roman" w:hAnsi="Times New Roman"/>
                <w:b/>
              </w:rPr>
              <w:t>(</w:t>
            </w:r>
            <w:r w:rsidRPr="005D03D4">
              <w:rPr>
                <w:rFonts w:ascii="Times New Roman" w:hAnsi="Times New Roman"/>
                <w:b/>
              </w:rPr>
              <w:t>s</w:t>
            </w:r>
            <w:r w:rsidR="00875FC8" w:rsidRPr="005D03D4">
              <w:rPr>
                <w:rFonts w:ascii="Times New Roman" w:hAnsi="Times New Roman"/>
                <w:b/>
              </w:rPr>
              <w:t>)</w:t>
            </w:r>
            <w:r w:rsidRPr="005D03D4">
              <w:rPr>
                <w:rFonts w:ascii="Times New Roman" w:hAnsi="Times New Roman"/>
                <w:b/>
              </w:rPr>
              <w:t xml:space="preserve"> de Escolaridade:</w:t>
            </w:r>
          </w:p>
        </w:tc>
        <w:tc>
          <w:tcPr>
            <w:tcW w:w="6945" w:type="dxa"/>
            <w:tcBorders>
              <w:bottom w:val="single" w:sz="4" w:space="0" w:color="auto"/>
            </w:tcBorders>
            <w:vAlign w:val="center"/>
          </w:tcPr>
          <w:p w:rsidR="001E00BE" w:rsidRPr="005D03D4" w:rsidRDefault="00D12D6F" w:rsidP="005D03D4">
            <w:pPr>
              <w:spacing w:after="0" w:line="240" w:lineRule="auto"/>
              <w:ind w:firstLine="175"/>
              <w:jc w:val="both"/>
              <w:rPr>
                <w:rFonts w:ascii="Times New Roman" w:hAnsi="Times New Roman"/>
                <w:b/>
              </w:rPr>
            </w:pPr>
            <w:r>
              <w:rPr>
                <w:rFonts w:ascii="Times New Roman" w:hAnsi="Times New Roman"/>
                <w:b/>
              </w:rPr>
              <w:t>11º Ano</w:t>
            </w:r>
          </w:p>
        </w:tc>
      </w:tr>
    </w:tbl>
    <w:p w:rsidR="001E00BE" w:rsidRPr="00806C8F" w:rsidRDefault="001E00BE" w:rsidP="001E00BE">
      <w:pPr>
        <w:pStyle w:val="PargrafodaLista"/>
        <w:ind w:left="644"/>
        <w:rPr>
          <w:rFonts w:ascii="Times New Roman" w:hAnsi="Times New Roman"/>
          <w:b/>
          <w:sz w:val="28"/>
          <w:szCs w:val="28"/>
        </w:rPr>
      </w:pPr>
    </w:p>
    <w:p w:rsidR="00D21DFA" w:rsidRPr="00806C8F" w:rsidRDefault="00D21DFA" w:rsidP="00D21DFA">
      <w:pPr>
        <w:pStyle w:val="PargrafodaLista"/>
        <w:numPr>
          <w:ilvl w:val="0"/>
          <w:numId w:val="1"/>
        </w:numPr>
        <w:rPr>
          <w:rFonts w:ascii="Times New Roman" w:hAnsi="Times New Roman"/>
          <w:b/>
          <w:sz w:val="28"/>
          <w:szCs w:val="28"/>
        </w:rPr>
      </w:pPr>
      <w:r w:rsidRPr="00806C8F">
        <w:rPr>
          <w:rFonts w:ascii="Times New Roman" w:hAnsi="Times New Roman"/>
          <w:b/>
          <w:sz w:val="28"/>
          <w:szCs w:val="28"/>
        </w:rPr>
        <w:t>Introdução</w:t>
      </w:r>
    </w:p>
    <w:p w:rsidR="00D12D6F" w:rsidRPr="00D12D6F" w:rsidRDefault="00D12D6F" w:rsidP="00D12D6F">
      <w:pPr>
        <w:autoSpaceDE w:val="0"/>
        <w:autoSpaceDN w:val="0"/>
        <w:adjustRightInd w:val="0"/>
        <w:spacing w:after="0" w:line="360" w:lineRule="auto"/>
        <w:ind w:left="644"/>
        <w:jc w:val="both"/>
        <w:rPr>
          <w:rFonts w:ascii="Times New Roman" w:hAnsi="Times New Roman"/>
          <w:sz w:val="24"/>
          <w:szCs w:val="24"/>
          <w:lang w:eastAsia="pt-PT"/>
        </w:rPr>
      </w:pPr>
      <w:r w:rsidRPr="00D12D6F">
        <w:rPr>
          <w:rFonts w:ascii="Times New Roman" w:hAnsi="Times New Roman"/>
          <w:sz w:val="24"/>
          <w:szCs w:val="24"/>
          <w:lang w:eastAsia="pt-PT"/>
        </w:rPr>
        <w:t xml:space="preserve">O presente documento visa divulgar as características da prova de equivalência à frequência do ensino secundário da disciplina de </w:t>
      </w:r>
      <w:r w:rsidRPr="00D12D6F">
        <w:rPr>
          <w:rFonts w:ascii="Times New Roman" w:hAnsi="Times New Roman"/>
          <w:b/>
          <w:sz w:val="24"/>
          <w:szCs w:val="24"/>
          <w:lang w:eastAsia="pt-PT"/>
        </w:rPr>
        <w:t>ESPANHOL</w:t>
      </w:r>
      <w:r w:rsidRPr="00D12D6F">
        <w:rPr>
          <w:rFonts w:ascii="Times New Roman" w:hAnsi="Times New Roman"/>
          <w:sz w:val="24"/>
          <w:szCs w:val="24"/>
          <w:lang w:eastAsia="pt-PT"/>
        </w:rPr>
        <w:t xml:space="preserve"> (</w:t>
      </w:r>
      <w:r w:rsidR="00190816">
        <w:rPr>
          <w:rFonts w:ascii="Times New Roman" w:hAnsi="Times New Roman"/>
          <w:b/>
          <w:sz w:val="24"/>
          <w:szCs w:val="24"/>
          <w:lang w:eastAsia="pt-PT"/>
        </w:rPr>
        <w:t>Iniciação</w:t>
      </w:r>
      <w:r w:rsidR="00347D12">
        <w:rPr>
          <w:rFonts w:ascii="Times New Roman" w:hAnsi="Times New Roman"/>
          <w:sz w:val="24"/>
          <w:szCs w:val="24"/>
          <w:lang w:eastAsia="pt-PT"/>
        </w:rPr>
        <w:t>), a realizar em 202</w:t>
      </w:r>
      <w:r w:rsidR="003823E6">
        <w:rPr>
          <w:rFonts w:ascii="Times New Roman" w:hAnsi="Times New Roman"/>
          <w:sz w:val="24"/>
          <w:szCs w:val="24"/>
          <w:lang w:eastAsia="pt-PT"/>
        </w:rPr>
        <w:t>3</w:t>
      </w:r>
      <w:r w:rsidRPr="00D12D6F">
        <w:rPr>
          <w:rFonts w:ascii="Times New Roman" w:hAnsi="Times New Roman"/>
          <w:sz w:val="24"/>
          <w:szCs w:val="24"/>
          <w:lang w:eastAsia="pt-PT"/>
        </w:rPr>
        <w:t>. As informações apresentadas neste documento não dispensam a consulta da legislação referida e do Programa da disciplina.</w:t>
      </w:r>
    </w:p>
    <w:p w:rsidR="00D12D6F" w:rsidRPr="00D12D6F" w:rsidRDefault="00D12D6F" w:rsidP="00D12D6F">
      <w:pPr>
        <w:autoSpaceDE w:val="0"/>
        <w:autoSpaceDN w:val="0"/>
        <w:adjustRightInd w:val="0"/>
        <w:spacing w:after="0" w:line="360" w:lineRule="auto"/>
        <w:ind w:left="644"/>
        <w:jc w:val="both"/>
        <w:rPr>
          <w:rFonts w:ascii="Times New Roman" w:hAnsi="Times New Roman"/>
          <w:sz w:val="24"/>
          <w:szCs w:val="24"/>
          <w:lang w:eastAsia="pt-PT"/>
        </w:rPr>
      </w:pPr>
      <w:r w:rsidRPr="00D12D6F">
        <w:rPr>
          <w:rFonts w:ascii="Times New Roman" w:hAnsi="Times New Roman"/>
          <w:sz w:val="24"/>
          <w:szCs w:val="24"/>
          <w:lang w:eastAsia="pt-PT"/>
        </w:rPr>
        <w:t>O presente documento dá a conhecer os seguintes aspetos relativos à prova:</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Objeto de avaliação;</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Caracterização da prova;</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Critérios Gerais de classificação;</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Material;</w:t>
      </w:r>
    </w:p>
    <w:p w:rsidR="00806C8F" w:rsidRPr="00D12D6F" w:rsidRDefault="00D12D6F" w:rsidP="00D12D6F">
      <w:pPr>
        <w:numPr>
          <w:ilvl w:val="0"/>
          <w:numId w:val="2"/>
        </w:numPr>
        <w:autoSpaceDE w:val="0"/>
        <w:autoSpaceDN w:val="0"/>
        <w:adjustRightInd w:val="0"/>
        <w:spacing w:after="0" w:line="360" w:lineRule="auto"/>
        <w:ind w:left="1070" w:firstLine="0"/>
        <w:jc w:val="both"/>
        <w:rPr>
          <w:rFonts w:cs="Georgia"/>
          <w:sz w:val="20"/>
          <w:szCs w:val="20"/>
          <w:lang w:eastAsia="pt-PT"/>
        </w:rPr>
      </w:pPr>
      <w:r w:rsidRPr="00D12D6F">
        <w:rPr>
          <w:rFonts w:ascii="Times New Roman" w:hAnsi="Times New Roman"/>
          <w:sz w:val="24"/>
          <w:szCs w:val="24"/>
          <w:lang w:eastAsia="pt-PT"/>
        </w:rPr>
        <w:t xml:space="preserve">Duração. </w:t>
      </w:r>
    </w:p>
    <w:p w:rsidR="00806C8F" w:rsidRPr="00806C8F" w:rsidRDefault="00806C8F" w:rsidP="00047B31">
      <w:pPr>
        <w:pStyle w:val="PargrafodaLista"/>
        <w:ind w:left="644"/>
        <w:rPr>
          <w:rFonts w:ascii="Times New Roman" w:hAnsi="Times New Roman"/>
          <w:b/>
          <w:sz w:val="28"/>
          <w:szCs w:val="28"/>
        </w:rPr>
      </w:pPr>
    </w:p>
    <w:p w:rsidR="00D21DFA" w:rsidRPr="00806C8F" w:rsidRDefault="00D21DFA" w:rsidP="00D21DFA">
      <w:pPr>
        <w:pStyle w:val="PargrafodaLista"/>
        <w:numPr>
          <w:ilvl w:val="0"/>
          <w:numId w:val="1"/>
        </w:numPr>
        <w:rPr>
          <w:rFonts w:ascii="Times New Roman" w:hAnsi="Times New Roman"/>
          <w:b/>
          <w:sz w:val="28"/>
          <w:szCs w:val="28"/>
        </w:rPr>
      </w:pPr>
      <w:r w:rsidRPr="00806C8F">
        <w:rPr>
          <w:rFonts w:ascii="Times New Roman" w:hAnsi="Times New Roman"/>
          <w:b/>
          <w:sz w:val="28"/>
          <w:szCs w:val="28"/>
        </w:rPr>
        <w:t>Objeto de Avaliação</w:t>
      </w:r>
    </w:p>
    <w:p w:rsidR="00D12D6F" w:rsidRPr="00D12D6F" w:rsidRDefault="00D12D6F" w:rsidP="00D12D6F">
      <w:pPr>
        <w:pStyle w:val="Pa1"/>
        <w:spacing w:line="360" w:lineRule="auto"/>
        <w:ind w:left="646"/>
        <w:jc w:val="both"/>
        <w:rPr>
          <w:rFonts w:ascii="Times New Roman" w:hAnsi="Times New Roman" w:cs="Times New Roman"/>
          <w:color w:val="000000"/>
        </w:rPr>
      </w:pPr>
      <w:r w:rsidRPr="00D12D6F">
        <w:rPr>
          <w:rFonts w:ascii="Times New Roman" w:hAnsi="Times New Roman" w:cs="Times New Roman"/>
        </w:rPr>
        <w:t xml:space="preserve">A </w:t>
      </w:r>
      <w:r w:rsidRPr="00D12D6F">
        <w:rPr>
          <w:rFonts w:ascii="Times New Roman" w:hAnsi="Times New Roman" w:cs="Times New Roman"/>
          <w:color w:val="000000"/>
        </w:rPr>
        <w:t>prova tem por referência os documentos curriculares em vigor (</w:t>
      </w:r>
      <w:r w:rsidR="00B80087" w:rsidRPr="00B80087">
        <w:rPr>
          <w:rFonts w:ascii="Times New Roman" w:hAnsi="Times New Roman" w:cs="Times New Roman"/>
          <w:color w:val="1F497D"/>
          <w:u w:val="single"/>
        </w:rPr>
        <w:t>Perfil dos Alunos à Saí</w:t>
      </w:r>
      <w:r w:rsidR="00B80087">
        <w:rPr>
          <w:rFonts w:ascii="Times New Roman" w:hAnsi="Times New Roman" w:cs="Times New Roman"/>
          <w:color w:val="1F497D"/>
          <w:u w:val="single"/>
        </w:rPr>
        <w:t>da da Escolaridade Obrigatória,</w:t>
      </w:r>
      <w:r w:rsidRPr="00B80087">
        <w:rPr>
          <w:rFonts w:ascii="Times New Roman" w:hAnsi="Times New Roman" w:cs="Times New Roman"/>
          <w:color w:val="1F497D"/>
          <w:u w:val="single"/>
        </w:rPr>
        <w:t xml:space="preserve"> </w:t>
      </w:r>
      <w:hyperlink r:id="rId8" w:history="1">
        <w:r w:rsidRPr="00B80087">
          <w:rPr>
            <w:rStyle w:val="Hiperligao"/>
            <w:rFonts w:ascii="Times New Roman" w:hAnsi="Times New Roman" w:cs="Times New Roman"/>
            <w:color w:val="1F497D"/>
          </w:rPr>
          <w:t>Aprendizagens Essenciais</w:t>
        </w:r>
      </w:hyperlink>
      <w:r w:rsidRPr="00B80087">
        <w:rPr>
          <w:rStyle w:val="A4"/>
          <w:rFonts w:ascii="Times New Roman" w:hAnsi="Times New Roman" w:cs="Times New Roman"/>
          <w:color w:val="1F497D"/>
          <w:sz w:val="24"/>
          <w:szCs w:val="24"/>
        </w:rPr>
        <w:t xml:space="preserve"> </w:t>
      </w:r>
      <w:r w:rsidRPr="00D12D6F">
        <w:rPr>
          <w:rFonts w:ascii="Times New Roman" w:hAnsi="Times New Roman" w:cs="Times New Roman"/>
          <w:color w:val="000000"/>
        </w:rPr>
        <w:t xml:space="preserve">e as orientações presentes no </w:t>
      </w:r>
      <w:r w:rsidRPr="00D12D6F">
        <w:rPr>
          <w:rFonts w:ascii="Times New Roman" w:hAnsi="Times New Roman" w:cs="Times New Roman"/>
          <w:i/>
          <w:iCs/>
          <w:color w:val="000000"/>
        </w:rPr>
        <w:t xml:space="preserve">Quadro Europeu Comum de Referência para as Línguas </w:t>
      </w:r>
      <w:r w:rsidRPr="00D12D6F">
        <w:rPr>
          <w:rFonts w:ascii="Times New Roman" w:hAnsi="Times New Roman" w:cs="Times New Roman"/>
          <w:color w:val="000000"/>
        </w:rPr>
        <w:t xml:space="preserve">– </w:t>
      </w:r>
      <w:hyperlink r:id="rId9" w:history="1">
        <w:r w:rsidRPr="00D12D6F">
          <w:rPr>
            <w:rStyle w:val="Hiperligao"/>
            <w:rFonts w:ascii="Times New Roman" w:hAnsi="Times New Roman" w:cs="Times New Roman"/>
          </w:rPr>
          <w:t>QECR</w:t>
        </w:r>
      </w:hyperlink>
      <w:r w:rsidRPr="00D12D6F">
        <w:rPr>
          <w:rFonts w:ascii="Times New Roman" w:hAnsi="Times New Roman" w:cs="Times New Roman"/>
          <w:color w:val="000000"/>
        </w:rPr>
        <w:t xml:space="preserve">). </w:t>
      </w:r>
    </w:p>
    <w:p w:rsidR="00D12D6F" w:rsidRPr="00D12D6F" w:rsidRDefault="00D12D6F" w:rsidP="00D12D6F">
      <w:pPr>
        <w:pStyle w:val="Pa5"/>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 xml:space="preserve">As Aprendizagens Essenciais das disciplinas de línguas estrangeiras centram-se nas competências comunicativa, intercultural e estratégica. </w:t>
      </w:r>
    </w:p>
    <w:p w:rsidR="00D12D6F" w:rsidRPr="00E4373E" w:rsidRDefault="00D12D6F" w:rsidP="00D12D6F">
      <w:pPr>
        <w:autoSpaceDE w:val="0"/>
        <w:autoSpaceDN w:val="0"/>
        <w:adjustRightInd w:val="0"/>
        <w:spacing w:after="0" w:line="360" w:lineRule="auto"/>
        <w:ind w:left="646"/>
        <w:jc w:val="both"/>
        <w:rPr>
          <w:rFonts w:cs="Georgia"/>
          <w:sz w:val="18"/>
          <w:szCs w:val="18"/>
          <w:lang w:eastAsia="pt-PT"/>
        </w:rPr>
      </w:pPr>
      <w:r w:rsidRPr="00D12D6F">
        <w:rPr>
          <w:rFonts w:ascii="Times New Roman" w:hAnsi="Times New Roman"/>
          <w:color w:val="000000"/>
          <w:sz w:val="24"/>
          <w:szCs w:val="24"/>
        </w:rPr>
        <w:t xml:space="preserve">Na prova </w:t>
      </w:r>
      <w:r w:rsidRPr="00D12D6F">
        <w:rPr>
          <w:rFonts w:ascii="Times New Roman" w:hAnsi="Times New Roman"/>
          <w:b/>
          <w:color w:val="000000"/>
          <w:sz w:val="24"/>
          <w:szCs w:val="24"/>
        </w:rPr>
        <w:t>escrita</w:t>
      </w:r>
      <w:r w:rsidRPr="00D12D6F">
        <w:rPr>
          <w:rFonts w:ascii="Times New Roman" w:hAnsi="Times New Roman"/>
          <w:color w:val="000000"/>
          <w:sz w:val="24"/>
          <w:szCs w:val="24"/>
        </w:rPr>
        <w:t xml:space="preserve"> são objeto de avaliação a compreensão do oral, o uso da língua, a leitura e a interação e produção escritas. Na prova </w:t>
      </w:r>
      <w:r w:rsidRPr="00D12D6F">
        <w:rPr>
          <w:rFonts w:ascii="Times New Roman" w:hAnsi="Times New Roman"/>
          <w:b/>
          <w:color w:val="000000"/>
          <w:sz w:val="24"/>
          <w:szCs w:val="24"/>
        </w:rPr>
        <w:t>oral</w:t>
      </w:r>
      <w:r w:rsidRPr="00D12D6F">
        <w:rPr>
          <w:rFonts w:ascii="Times New Roman" w:hAnsi="Times New Roman"/>
          <w:color w:val="000000"/>
          <w:sz w:val="24"/>
          <w:szCs w:val="24"/>
        </w:rPr>
        <w:t xml:space="preserve"> é objeto de avaliação a interação e produção orais.</w:t>
      </w:r>
    </w:p>
    <w:p w:rsidR="00047B31" w:rsidRDefault="00047B31" w:rsidP="00047B31">
      <w:pPr>
        <w:pStyle w:val="PargrafodaLista"/>
        <w:ind w:left="644"/>
        <w:rPr>
          <w:rFonts w:ascii="Times New Roman" w:hAnsi="Times New Roman"/>
          <w:b/>
          <w:sz w:val="28"/>
          <w:szCs w:val="28"/>
        </w:rPr>
      </w:pPr>
    </w:p>
    <w:p w:rsidR="005F68AD" w:rsidRDefault="005F68AD" w:rsidP="00047B31">
      <w:pPr>
        <w:pStyle w:val="PargrafodaLista"/>
        <w:ind w:left="644"/>
        <w:rPr>
          <w:rFonts w:ascii="Times New Roman" w:hAnsi="Times New Roman"/>
          <w:b/>
          <w:sz w:val="28"/>
          <w:szCs w:val="28"/>
        </w:rPr>
      </w:pPr>
    </w:p>
    <w:p w:rsidR="005F68AD" w:rsidRPr="00806C8F" w:rsidRDefault="005F68AD" w:rsidP="00047B31">
      <w:pPr>
        <w:pStyle w:val="PargrafodaLista"/>
        <w:ind w:left="644"/>
        <w:rPr>
          <w:rFonts w:ascii="Times New Roman" w:hAnsi="Times New Roman"/>
          <w:b/>
          <w:sz w:val="28"/>
          <w:szCs w:val="28"/>
        </w:rPr>
      </w:pPr>
    </w:p>
    <w:p w:rsidR="00D21DFA" w:rsidRPr="00806C8F" w:rsidRDefault="00030F99" w:rsidP="005F68AD">
      <w:pPr>
        <w:pStyle w:val="PargrafodaLista"/>
        <w:numPr>
          <w:ilvl w:val="0"/>
          <w:numId w:val="1"/>
        </w:numPr>
        <w:spacing w:after="0" w:line="240" w:lineRule="auto"/>
        <w:rPr>
          <w:rFonts w:ascii="Times New Roman" w:hAnsi="Times New Roman"/>
          <w:b/>
          <w:sz w:val="28"/>
          <w:szCs w:val="28"/>
        </w:rPr>
      </w:pPr>
      <w:r>
        <w:rPr>
          <w:rFonts w:ascii="Times New Roman" w:hAnsi="Times New Roman"/>
          <w:b/>
          <w:sz w:val="28"/>
          <w:szCs w:val="28"/>
        </w:rPr>
        <w:lastRenderedPageBreak/>
        <w:t>Características e Estrutura</w:t>
      </w:r>
      <w:r w:rsidR="00D21DFA" w:rsidRPr="00806C8F">
        <w:rPr>
          <w:rFonts w:ascii="Times New Roman" w:hAnsi="Times New Roman"/>
          <w:b/>
          <w:sz w:val="28"/>
          <w:szCs w:val="28"/>
        </w:rPr>
        <w:t xml:space="preserve"> da Prova</w:t>
      </w:r>
    </w:p>
    <w:p w:rsidR="005F68AD" w:rsidRDefault="005F68AD" w:rsidP="005F68AD">
      <w:pPr>
        <w:widowControl w:val="0"/>
        <w:autoSpaceDE w:val="0"/>
        <w:spacing w:after="0" w:line="240" w:lineRule="auto"/>
        <w:ind w:left="646"/>
        <w:rPr>
          <w:rFonts w:ascii="Times New Roman" w:hAnsi="Times New Roman"/>
          <w:b/>
          <w:sz w:val="24"/>
          <w:szCs w:val="24"/>
          <w:lang w:eastAsia="pt-PT"/>
        </w:rPr>
      </w:pPr>
    </w:p>
    <w:p w:rsidR="00D12D6F" w:rsidRPr="00D12D6F" w:rsidRDefault="00D12D6F" w:rsidP="005F68AD">
      <w:pPr>
        <w:widowControl w:val="0"/>
        <w:autoSpaceDE w:val="0"/>
        <w:spacing w:after="0" w:line="240" w:lineRule="auto"/>
        <w:ind w:left="646"/>
        <w:rPr>
          <w:rFonts w:ascii="Times New Roman" w:hAnsi="Times New Roman"/>
          <w:b/>
          <w:sz w:val="24"/>
          <w:szCs w:val="24"/>
          <w:lang w:eastAsia="pt-PT"/>
        </w:rPr>
      </w:pPr>
      <w:r w:rsidRPr="00D12D6F">
        <w:rPr>
          <w:rFonts w:ascii="Times New Roman" w:hAnsi="Times New Roman"/>
          <w:b/>
          <w:sz w:val="24"/>
          <w:szCs w:val="24"/>
          <w:lang w:eastAsia="pt-PT"/>
        </w:rPr>
        <w:t>Prova escrita</w:t>
      </w:r>
    </w:p>
    <w:p w:rsidR="00D12D6F" w:rsidRPr="00D12D6F" w:rsidRDefault="00D12D6F" w:rsidP="00D12D6F">
      <w:pPr>
        <w:pStyle w:val="Pa1"/>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 xml:space="preserve">Na prova </w:t>
      </w:r>
      <w:r w:rsidRPr="00D12D6F">
        <w:rPr>
          <w:rFonts w:ascii="Times New Roman" w:hAnsi="Times New Roman" w:cs="Times New Roman"/>
          <w:b/>
          <w:color w:val="000000"/>
        </w:rPr>
        <w:t>escrita</w:t>
      </w:r>
      <w:r w:rsidRPr="00D12D6F">
        <w:rPr>
          <w:rFonts w:ascii="Times New Roman" w:hAnsi="Times New Roman" w:cs="Times New Roman"/>
          <w:color w:val="000000"/>
        </w:rPr>
        <w:t xml:space="preserve"> avalia-se a compreensão do oral, o uso da língua, a leitura e a interação e produção escritas. Os itens têm como suporte estímulos orais, escritos e/ou visuais. </w:t>
      </w:r>
    </w:p>
    <w:p w:rsidR="00D12D6F" w:rsidRPr="000A0EDF" w:rsidRDefault="00D12D6F" w:rsidP="00D12D6F">
      <w:pPr>
        <w:pStyle w:val="Pa10"/>
        <w:spacing w:line="360" w:lineRule="auto"/>
        <w:ind w:left="646"/>
        <w:rPr>
          <w:rFonts w:ascii="Calibri" w:hAnsi="Calibri" w:cs="Times New Roman"/>
          <w:color w:val="000000"/>
        </w:rPr>
      </w:pPr>
      <w:r w:rsidRPr="000A0EDF">
        <w:rPr>
          <w:rFonts w:ascii="Calibri" w:hAnsi="Calibri" w:cs="Times New Roman"/>
          <w:color w:val="000000"/>
        </w:rPr>
        <w:t>Compreensão do oral</w:t>
      </w:r>
      <w:r w:rsidR="000A0EDF">
        <w:rPr>
          <w:rFonts w:ascii="Calibri" w:hAnsi="Calibri" w:cs="Times New Roman"/>
          <w:color w:val="000000"/>
        </w:rPr>
        <w:t>:</w:t>
      </w:r>
    </w:p>
    <w:p w:rsidR="00D12D6F" w:rsidRPr="00D12D6F" w:rsidRDefault="00D12D6F" w:rsidP="000A0EDF">
      <w:pPr>
        <w:pStyle w:val="Pa5"/>
        <w:spacing w:line="360" w:lineRule="auto"/>
        <w:ind w:left="646" w:firstLine="62"/>
        <w:jc w:val="both"/>
        <w:rPr>
          <w:rFonts w:ascii="Times New Roman" w:hAnsi="Times New Roman" w:cs="Times New Roman"/>
          <w:color w:val="000000"/>
        </w:rPr>
      </w:pPr>
      <w:r w:rsidRPr="00D12D6F">
        <w:rPr>
          <w:rFonts w:ascii="Times New Roman" w:hAnsi="Times New Roman" w:cs="Times New Roman"/>
          <w:color w:val="000000"/>
        </w:rPr>
        <w:t>Avalia-se o desempenho do examinando na compreensão do oral, tendo como suporte textos áudio.</w:t>
      </w:r>
    </w:p>
    <w:p w:rsidR="00D12D6F" w:rsidRPr="000A0EDF" w:rsidRDefault="00D12D6F" w:rsidP="00D12D6F">
      <w:pPr>
        <w:pStyle w:val="Pa10"/>
        <w:spacing w:line="360" w:lineRule="auto"/>
        <w:ind w:left="646"/>
        <w:jc w:val="both"/>
        <w:rPr>
          <w:rFonts w:ascii="Calibri" w:hAnsi="Calibri" w:cs="Times New Roman"/>
          <w:color w:val="000000"/>
        </w:rPr>
      </w:pPr>
      <w:r w:rsidRPr="000A0EDF">
        <w:rPr>
          <w:rFonts w:ascii="Calibri" w:hAnsi="Calibri" w:cs="Times New Roman"/>
          <w:color w:val="000000"/>
        </w:rPr>
        <w:t>Uso da língua e leitura</w:t>
      </w:r>
      <w:r w:rsidR="000A0EDF">
        <w:rPr>
          <w:rFonts w:ascii="Calibri" w:hAnsi="Calibri" w:cs="Times New Roman"/>
          <w:color w:val="000000"/>
        </w:rPr>
        <w:t>:</w:t>
      </w:r>
    </w:p>
    <w:p w:rsidR="00D12D6F" w:rsidRPr="00D12D6F" w:rsidRDefault="00D12D6F" w:rsidP="00D12D6F">
      <w:pPr>
        <w:pStyle w:val="Pa1"/>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Avalia-se o desempenho do examinando no uso da língua e na leitura.</w:t>
      </w:r>
    </w:p>
    <w:p w:rsidR="00D12D6F" w:rsidRPr="00D12D6F" w:rsidRDefault="00D12D6F" w:rsidP="00D12D6F">
      <w:pPr>
        <w:autoSpaceDE w:val="0"/>
        <w:autoSpaceDN w:val="0"/>
        <w:adjustRightInd w:val="0"/>
        <w:spacing w:after="0" w:line="360" w:lineRule="auto"/>
        <w:ind w:left="646"/>
        <w:jc w:val="both"/>
        <w:rPr>
          <w:rFonts w:ascii="Times New Roman" w:hAnsi="Times New Roman"/>
          <w:sz w:val="24"/>
          <w:szCs w:val="24"/>
          <w:lang w:eastAsia="pt-PT"/>
        </w:rPr>
      </w:pPr>
      <w:r w:rsidRPr="00D12D6F">
        <w:rPr>
          <w:rFonts w:ascii="Times New Roman" w:hAnsi="Times New Roman"/>
          <w:color w:val="000000"/>
          <w:sz w:val="24"/>
          <w:szCs w:val="24"/>
        </w:rPr>
        <w:t>Os itens referentes à leitura podem ter como suporte um ou mais textos, situando-se o número total aproximado de palavras do(s) texto(s) nos intervalos 4</w:t>
      </w:r>
      <w:r w:rsidR="000A0EDF">
        <w:rPr>
          <w:rFonts w:ascii="Times New Roman" w:hAnsi="Times New Roman"/>
          <w:color w:val="000000"/>
          <w:sz w:val="24"/>
          <w:szCs w:val="24"/>
        </w:rPr>
        <w:t>0</w:t>
      </w:r>
      <w:r w:rsidRPr="00D12D6F">
        <w:rPr>
          <w:rFonts w:ascii="Times New Roman" w:hAnsi="Times New Roman"/>
          <w:color w:val="000000"/>
          <w:sz w:val="24"/>
          <w:szCs w:val="24"/>
        </w:rPr>
        <w:t xml:space="preserve">0 – </w:t>
      </w:r>
      <w:r w:rsidR="000A0EDF">
        <w:rPr>
          <w:rFonts w:ascii="Times New Roman" w:hAnsi="Times New Roman"/>
          <w:color w:val="000000"/>
          <w:sz w:val="24"/>
          <w:szCs w:val="24"/>
        </w:rPr>
        <w:t>5</w:t>
      </w:r>
      <w:r w:rsidRPr="00D12D6F">
        <w:rPr>
          <w:rFonts w:ascii="Times New Roman" w:hAnsi="Times New Roman"/>
          <w:color w:val="000000"/>
          <w:sz w:val="24"/>
          <w:szCs w:val="24"/>
        </w:rPr>
        <w:t>50.</w:t>
      </w:r>
    </w:p>
    <w:p w:rsidR="00D12D6F" w:rsidRPr="000A0EDF" w:rsidRDefault="00D12D6F" w:rsidP="00D12D6F">
      <w:pPr>
        <w:pStyle w:val="Pa10"/>
        <w:spacing w:line="360" w:lineRule="auto"/>
        <w:ind w:left="646"/>
        <w:jc w:val="both"/>
        <w:rPr>
          <w:rFonts w:ascii="Calibri" w:hAnsi="Calibri" w:cs="Times New Roman"/>
          <w:color w:val="000000"/>
        </w:rPr>
      </w:pPr>
      <w:r w:rsidRPr="000A0EDF">
        <w:rPr>
          <w:rFonts w:ascii="Calibri" w:hAnsi="Calibri" w:cs="Times New Roman"/>
          <w:color w:val="000000"/>
        </w:rPr>
        <w:t>Interação e produção escritas</w:t>
      </w:r>
      <w:r w:rsidR="000A0EDF">
        <w:rPr>
          <w:rFonts w:ascii="Calibri" w:hAnsi="Calibri" w:cs="Times New Roman"/>
          <w:color w:val="000000"/>
        </w:rPr>
        <w:t>:</w:t>
      </w:r>
    </w:p>
    <w:p w:rsidR="00D12D6F" w:rsidRPr="00D12D6F" w:rsidRDefault="00D12D6F" w:rsidP="00D12D6F">
      <w:pPr>
        <w:autoSpaceDE w:val="0"/>
        <w:autoSpaceDN w:val="0"/>
        <w:adjustRightInd w:val="0"/>
        <w:spacing w:after="0" w:line="360" w:lineRule="auto"/>
        <w:ind w:left="646"/>
        <w:jc w:val="both"/>
        <w:rPr>
          <w:rFonts w:ascii="Times New Roman" w:hAnsi="Times New Roman"/>
          <w:sz w:val="24"/>
          <w:szCs w:val="24"/>
          <w:lang w:eastAsia="pt-PT"/>
        </w:rPr>
      </w:pPr>
      <w:r w:rsidRPr="00D12D6F">
        <w:rPr>
          <w:rFonts w:ascii="Times New Roman" w:hAnsi="Times New Roman"/>
          <w:color w:val="000000"/>
          <w:sz w:val="24"/>
          <w:szCs w:val="24"/>
        </w:rPr>
        <w:t>Avalia-se o desempenho do examinando em duas atividades de interação e produção escritas. O número de palavras a escrever situa-se nos intervalos</w:t>
      </w:r>
      <w:r w:rsidRPr="00D12D6F">
        <w:rPr>
          <w:rFonts w:ascii="Times New Roman" w:hAnsi="Times New Roman"/>
          <w:sz w:val="24"/>
          <w:szCs w:val="24"/>
          <w:lang w:eastAsia="pt-PT"/>
        </w:rPr>
        <w:t xml:space="preserve"> </w:t>
      </w:r>
      <w:r w:rsidR="000A0EDF">
        <w:rPr>
          <w:rFonts w:ascii="Times New Roman" w:hAnsi="Times New Roman"/>
          <w:sz w:val="24"/>
          <w:szCs w:val="24"/>
          <w:lang w:eastAsia="pt-PT"/>
        </w:rPr>
        <w:t>3</w:t>
      </w:r>
      <w:r w:rsidRPr="00D12D6F">
        <w:rPr>
          <w:rFonts w:ascii="Times New Roman" w:hAnsi="Times New Roman"/>
          <w:sz w:val="24"/>
          <w:szCs w:val="24"/>
          <w:lang w:eastAsia="pt-PT"/>
        </w:rPr>
        <w:t xml:space="preserve">0 – </w:t>
      </w:r>
      <w:r w:rsidR="000A0EDF">
        <w:rPr>
          <w:rFonts w:ascii="Times New Roman" w:hAnsi="Times New Roman"/>
          <w:sz w:val="24"/>
          <w:szCs w:val="24"/>
          <w:lang w:eastAsia="pt-PT"/>
        </w:rPr>
        <w:t>4</w:t>
      </w:r>
      <w:r w:rsidRPr="00D12D6F">
        <w:rPr>
          <w:rFonts w:ascii="Times New Roman" w:hAnsi="Times New Roman"/>
          <w:sz w:val="24"/>
          <w:szCs w:val="24"/>
          <w:lang w:eastAsia="pt-PT"/>
        </w:rPr>
        <w:t>0 e 1</w:t>
      </w:r>
      <w:r w:rsidR="000A0EDF">
        <w:rPr>
          <w:rFonts w:ascii="Times New Roman" w:hAnsi="Times New Roman"/>
          <w:sz w:val="24"/>
          <w:szCs w:val="24"/>
          <w:lang w:eastAsia="pt-PT"/>
        </w:rPr>
        <w:t>0</w:t>
      </w:r>
      <w:r w:rsidRPr="00D12D6F">
        <w:rPr>
          <w:rFonts w:ascii="Times New Roman" w:hAnsi="Times New Roman"/>
          <w:sz w:val="24"/>
          <w:szCs w:val="24"/>
          <w:lang w:eastAsia="pt-PT"/>
        </w:rPr>
        <w:t xml:space="preserve">0 – </w:t>
      </w:r>
      <w:r w:rsidR="000A0EDF">
        <w:rPr>
          <w:rFonts w:ascii="Times New Roman" w:hAnsi="Times New Roman"/>
          <w:sz w:val="24"/>
          <w:szCs w:val="24"/>
          <w:lang w:eastAsia="pt-PT"/>
        </w:rPr>
        <w:t>130</w:t>
      </w:r>
      <w:r w:rsidRPr="00D12D6F">
        <w:rPr>
          <w:rFonts w:ascii="Times New Roman" w:hAnsi="Times New Roman"/>
          <w:sz w:val="24"/>
          <w:szCs w:val="24"/>
          <w:lang w:eastAsia="pt-PT"/>
        </w:rPr>
        <w:t>.</w:t>
      </w:r>
    </w:p>
    <w:p w:rsidR="00D12D6F" w:rsidRPr="00D12D6F" w:rsidRDefault="00D12D6F" w:rsidP="00D12D6F">
      <w:pPr>
        <w:autoSpaceDE w:val="0"/>
        <w:autoSpaceDN w:val="0"/>
        <w:adjustRightInd w:val="0"/>
        <w:spacing w:after="0" w:line="360" w:lineRule="auto"/>
        <w:ind w:left="646"/>
        <w:jc w:val="both"/>
        <w:rPr>
          <w:rFonts w:ascii="Times New Roman" w:hAnsi="Times New Roman"/>
          <w:sz w:val="24"/>
          <w:szCs w:val="24"/>
          <w:lang w:eastAsia="pt-PT"/>
        </w:rPr>
      </w:pPr>
      <w:r w:rsidRPr="00D12D6F">
        <w:rPr>
          <w:rFonts w:ascii="Times New Roman" w:hAnsi="Times New Roman"/>
          <w:sz w:val="24"/>
          <w:szCs w:val="24"/>
          <w:lang w:eastAsia="pt-PT"/>
        </w:rPr>
        <w:t>As provas incluem itens de seleção (por exemplo, escolha múltipla, associação e ordenação) e itens de construção (por exemplo, resposta restrita e extensa).</w:t>
      </w:r>
    </w:p>
    <w:p w:rsidR="00D12D6F" w:rsidRPr="00D12D6F" w:rsidRDefault="00D12D6F" w:rsidP="00D12D6F">
      <w:pPr>
        <w:autoSpaceDE w:val="0"/>
        <w:autoSpaceDN w:val="0"/>
        <w:adjustRightInd w:val="0"/>
        <w:spacing w:after="0" w:line="360" w:lineRule="auto"/>
        <w:ind w:left="646"/>
        <w:jc w:val="both"/>
        <w:rPr>
          <w:rFonts w:ascii="Times New Roman" w:hAnsi="Times New Roman"/>
          <w:color w:val="231F20"/>
          <w:sz w:val="24"/>
          <w:szCs w:val="24"/>
        </w:rPr>
      </w:pPr>
      <w:r w:rsidRPr="00D12D6F">
        <w:rPr>
          <w:rFonts w:ascii="Times New Roman" w:hAnsi="Times New Roman"/>
          <w:color w:val="231F20"/>
          <w:sz w:val="24"/>
          <w:szCs w:val="24"/>
        </w:rPr>
        <w:t xml:space="preserve">A prova </w:t>
      </w:r>
      <w:r w:rsidRPr="00D12D6F">
        <w:rPr>
          <w:rFonts w:ascii="Times New Roman" w:hAnsi="Times New Roman"/>
          <w:b/>
          <w:color w:val="231F20"/>
          <w:sz w:val="24"/>
          <w:szCs w:val="24"/>
        </w:rPr>
        <w:t>escrita</w:t>
      </w:r>
      <w:r w:rsidRPr="00D12D6F">
        <w:rPr>
          <w:rFonts w:ascii="Times New Roman" w:hAnsi="Times New Roman"/>
          <w:color w:val="231F20"/>
          <w:sz w:val="24"/>
          <w:szCs w:val="24"/>
        </w:rPr>
        <w:t xml:space="preserve"> é cotada para </w:t>
      </w:r>
      <w:r w:rsidRPr="00D12D6F">
        <w:rPr>
          <w:rFonts w:ascii="Times New Roman" w:hAnsi="Times New Roman"/>
          <w:b/>
          <w:color w:val="231F20"/>
          <w:sz w:val="24"/>
          <w:szCs w:val="24"/>
        </w:rPr>
        <w:t>200 pontos</w:t>
      </w:r>
      <w:r w:rsidRPr="00D12D6F">
        <w:rPr>
          <w:rFonts w:ascii="Times New Roman" w:hAnsi="Times New Roman"/>
          <w:color w:val="231F20"/>
          <w:sz w:val="24"/>
          <w:szCs w:val="24"/>
        </w:rPr>
        <w:t>. A distribuição da cotação pelos grupos apresenta-se no seguinte quadro:</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2697"/>
        <w:gridCol w:w="1443"/>
      </w:tblGrid>
      <w:tr w:rsidR="00D12D6F" w:rsidRPr="00D12D6F" w:rsidTr="00D12D6F">
        <w:trPr>
          <w:jc w:val="center"/>
        </w:trPr>
        <w:tc>
          <w:tcPr>
            <w:tcW w:w="1083" w:type="dxa"/>
            <w:shd w:val="clear" w:color="auto" w:fill="auto"/>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GRUPO</w:t>
            </w:r>
          </w:p>
        </w:tc>
        <w:tc>
          <w:tcPr>
            <w:tcW w:w="2697" w:type="dxa"/>
            <w:shd w:val="clear" w:color="auto" w:fill="auto"/>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DOMÍNIO</w:t>
            </w:r>
          </w:p>
        </w:tc>
        <w:tc>
          <w:tcPr>
            <w:tcW w:w="920" w:type="dxa"/>
            <w:shd w:val="clear" w:color="auto" w:fill="auto"/>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COTAÇÃO</w:t>
            </w:r>
          </w:p>
        </w:tc>
      </w:tr>
      <w:tr w:rsidR="00D12D6F" w:rsidRPr="00D12D6F" w:rsidTr="00D12D6F">
        <w:trPr>
          <w:jc w:val="center"/>
        </w:trPr>
        <w:tc>
          <w:tcPr>
            <w:tcW w:w="1083"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A</w:t>
            </w: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Compreensão do oral</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30</w:t>
            </w:r>
          </w:p>
        </w:tc>
      </w:tr>
      <w:tr w:rsidR="00D12D6F" w:rsidRPr="00D12D6F" w:rsidTr="00D12D6F">
        <w:trPr>
          <w:jc w:val="center"/>
        </w:trPr>
        <w:tc>
          <w:tcPr>
            <w:tcW w:w="1083" w:type="dxa"/>
            <w:vMerge w:val="restart"/>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B</w:t>
            </w: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Uso da língua</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30</w:t>
            </w:r>
          </w:p>
        </w:tc>
      </w:tr>
      <w:tr w:rsidR="00D12D6F" w:rsidRPr="00D12D6F" w:rsidTr="00D12D6F">
        <w:trPr>
          <w:jc w:val="center"/>
        </w:trPr>
        <w:tc>
          <w:tcPr>
            <w:tcW w:w="1083" w:type="dxa"/>
            <w:vMerge/>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 xml:space="preserve">Leitura </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60</w:t>
            </w:r>
          </w:p>
        </w:tc>
      </w:tr>
      <w:tr w:rsidR="00D12D6F" w:rsidRPr="00D12D6F" w:rsidTr="00D12D6F">
        <w:trPr>
          <w:jc w:val="center"/>
        </w:trPr>
        <w:tc>
          <w:tcPr>
            <w:tcW w:w="1083" w:type="dxa"/>
            <w:vMerge w:val="restart"/>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C</w:t>
            </w: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 xml:space="preserve">Interação escrita </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20</w:t>
            </w:r>
          </w:p>
        </w:tc>
      </w:tr>
      <w:tr w:rsidR="00D12D6F" w:rsidRPr="00D12D6F" w:rsidTr="00D12D6F">
        <w:trPr>
          <w:jc w:val="center"/>
        </w:trPr>
        <w:tc>
          <w:tcPr>
            <w:tcW w:w="1083" w:type="dxa"/>
            <w:vMerge/>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 xml:space="preserve">Produção escrita </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60</w:t>
            </w:r>
          </w:p>
        </w:tc>
      </w:tr>
    </w:tbl>
    <w:p w:rsidR="00D12D6F" w:rsidRPr="00D12D6F" w:rsidRDefault="00D12D6F" w:rsidP="00D12D6F">
      <w:pPr>
        <w:autoSpaceDE w:val="0"/>
        <w:autoSpaceDN w:val="0"/>
        <w:adjustRightInd w:val="0"/>
        <w:spacing w:after="0" w:line="240" w:lineRule="auto"/>
        <w:jc w:val="both"/>
        <w:rPr>
          <w:rFonts w:ascii="Times New Roman" w:hAnsi="Times New Roman"/>
          <w:color w:val="231F20"/>
          <w:sz w:val="24"/>
          <w:szCs w:val="24"/>
        </w:rPr>
      </w:pPr>
    </w:p>
    <w:p w:rsidR="00D12D6F" w:rsidRPr="00D12D6F" w:rsidRDefault="00D12D6F" w:rsidP="00D12D6F">
      <w:pPr>
        <w:widowControl w:val="0"/>
        <w:tabs>
          <w:tab w:val="left" w:pos="1905"/>
        </w:tabs>
        <w:autoSpaceDE w:val="0"/>
        <w:spacing w:after="0" w:line="360" w:lineRule="auto"/>
        <w:ind w:left="708" w:right="52"/>
        <w:rPr>
          <w:rFonts w:ascii="Times New Roman" w:hAnsi="Times New Roman"/>
          <w:b/>
          <w:sz w:val="24"/>
          <w:szCs w:val="24"/>
          <w:lang w:eastAsia="pt-PT"/>
        </w:rPr>
      </w:pPr>
      <w:r w:rsidRPr="00D12D6F">
        <w:rPr>
          <w:rFonts w:ascii="Times New Roman" w:hAnsi="Times New Roman"/>
          <w:b/>
          <w:sz w:val="24"/>
          <w:szCs w:val="24"/>
          <w:lang w:eastAsia="pt-PT"/>
        </w:rPr>
        <w:t>Prova oral</w:t>
      </w:r>
      <w:r w:rsidRPr="00D12D6F">
        <w:rPr>
          <w:rFonts w:ascii="Times New Roman" w:hAnsi="Times New Roman"/>
          <w:b/>
          <w:sz w:val="24"/>
          <w:szCs w:val="24"/>
          <w:lang w:eastAsia="pt-PT"/>
        </w:rPr>
        <w:tab/>
      </w:r>
    </w:p>
    <w:p w:rsidR="00D12D6F" w:rsidRPr="00D12D6F" w:rsidRDefault="00D12D6F" w:rsidP="00D12D6F">
      <w:pPr>
        <w:widowControl w:val="0"/>
        <w:autoSpaceDE w:val="0"/>
        <w:spacing w:after="0" w:line="360" w:lineRule="auto"/>
        <w:ind w:left="708"/>
        <w:jc w:val="both"/>
        <w:rPr>
          <w:rFonts w:ascii="Times New Roman" w:hAnsi="Times New Roman"/>
          <w:sz w:val="24"/>
          <w:szCs w:val="24"/>
          <w:lang w:eastAsia="pt-PT"/>
        </w:rPr>
      </w:pPr>
      <w:r w:rsidRPr="00D12D6F">
        <w:rPr>
          <w:rFonts w:ascii="Times New Roman" w:hAnsi="Times New Roman"/>
          <w:sz w:val="24"/>
          <w:szCs w:val="24"/>
          <w:lang w:eastAsia="pt-PT"/>
        </w:rPr>
        <w:t xml:space="preserve">A prova </w:t>
      </w:r>
      <w:r w:rsidRPr="00D12D6F">
        <w:rPr>
          <w:rFonts w:ascii="Times New Roman" w:hAnsi="Times New Roman"/>
          <w:b/>
          <w:sz w:val="24"/>
          <w:szCs w:val="24"/>
          <w:lang w:eastAsia="pt-PT"/>
        </w:rPr>
        <w:t>oral</w:t>
      </w:r>
      <w:r w:rsidRPr="00D12D6F">
        <w:rPr>
          <w:rFonts w:ascii="Times New Roman" w:hAnsi="Times New Roman"/>
          <w:sz w:val="24"/>
          <w:szCs w:val="24"/>
          <w:lang w:eastAsia="pt-PT"/>
        </w:rPr>
        <w:t xml:space="preserve"> é constituída por uma sequência de tarefas possibilitadoras de apoio linguístico e comunicativo que preparam o examinando para a realização de uma tarefa final de produção oral. A cotação da prova </w:t>
      </w:r>
      <w:r w:rsidRPr="00D12D6F">
        <w:rPr>
          <w:rFonts w:ascii="Times New Roman" w:hAnsi="Times New Roman"/>
          <w:b/>
          <w:sz w:val="24"/>
          <w:szCs w:val="24"/>
          <w:lang w:eastAsia="pt-PT"/>
        </w:rPr>
        <w:t>oral</w:t>
      </w:r>
      <w:r w:rsidRPr="00D12D6F">
        <w:rPr>
          <w:rFonts w:ascii="Times New Roman" w:hAnsi="Times New Roman"/>
          <w:sz w:val="24"/>
          <w:szCs w:val="24"/>
          <w:lang w:eastAsia="pt-PT"/>
        </w:rPr>
        <w:t xml:space="preserve"> é de 200 pontos.</w:t>
      </w:r>
    </w:p>
    <w:p w:rsidR="00D12D6F" w:rsidRPr="00D12D6F" w:rsidRDefault="00D12D6F" w:rsidP="00D12D6F">
      <w:pPr>
        <w:widowControl w:val="0"/>
        <w:autoSpaceDE w:val="0"/>
        <w:spacing w:after="0" w:line="360" w:lineRule="auto"/>
        <w:ind w:left="708"/>
        <w:jc w:val="both"/>
        <w:rPr>
          <w:rFonts w:ascii="Times New Roman" w:hAnsi="Times New Roman"/>
          <w:sz w:val="24"/>
          <w:szCs w:val="24"/>
          <w:lang w:eastAsia="pt-PT"/>
        </w:rPr>
      </w:pPr>
      <w:r w:rsidRPr="00D12D6F">
        <w:rPr>
          <w:rFonts w:ascii="Times New Roman" w:hAnsi="Times New Roman"/>
          <w:sz w:val="24"/>
          <w:szCs w:val="24"/>
          <w:lang w:eastAsia="pt-PT"/>
        </w:rPr>
        <w:t>A sequência de tarefas envolve os seguintes tipos de atividades:</w:t>
      </w:r>
    </w:p>
    <w:p w:rsidR="00D12D6F" w:rsidRPr="00D12D6F" w:rsidRDefault="00D12D6F" w:rsidP="00D12D6F">
      <w:pPr>
        <w:widowControl w:val="0"/>
        <w:numPr>
          <w:ilvl w:val="0"/>
          <w:numId w:val="3"/>
        </w:numPr>
        <w:autoSpaceDE w:val="0"/>
        <w:spacing w:after="0" w:line="360" w:lineRule="auto"/>
        <w:ind w:left="1428"/>
        <w:jc w:val="both"/>
        <w:rPr>
          <w:rFonts w:ascii="Times New Roman" w:hAnsi="Times New Roman"/>
          <w:sz w:val="24"/>
          <w:szCs w:val="24"/>
          <w:lang w:eastAsia="pt-PT"/>
        </w:rPr>
      </w:pPr>
      <w:r w:rsidRPr="00D12D6F">
        <w:rPr>
          <w:rFonts w:ascii="Times New Roman" w:hAnsi="Times New Roman"/>
          <w:sz w:val="24"/>
          <w:szCs w:val="24"/>
          <w:lang w:eastAsia="pt-PT"/>
        </w:rPr>
        <w:t xml:space="preserve">O examinador </w:t>
      </w:r>
      <w:r w:rsidRPr="00D12D6F">
        <w:rPr>
          <w:rFonts w:ascii="Times New Roman" w:hAnsi="Times New Roman"/>
          <w:bCs/>
          <w:sz w:val="24"/>
          <w:szCs w:val="24"/>
        </w:rPr>
        <w:t>entrevista alternadamente os examinandos durante 6 minutos.</w:t>
      </w:r>
    </w:p>
    <w:p w:rsidR="00D12D6F" w:rsidRPr="00D12D6F" w:rsidRDefault="00D12D6F" w:rsidP="00D12D6F">
      <w:pPr>
        <w:widowControl w:val="0"/>
        <w:numPr>
          <w:ilvl w:val="0"/>
          <w:numId w:val="3"/>
        </w:numPr>
        <w:autoSpaceDE w:val="0"/>
        <w:spacing w:after="0" w:line="360" w:lineRule="auto"/>
        <w:ind w:left="1428"/>
        <w:jc w:val="both"/>
        <w:rPr>
          <w:rFonts w:ascii="Times New Roman" w:hAnsi="Times New Roman"/>
          <w:sz w:val="24"/>
          <w:szCs w:val="24"/>
          <w:lang w:eastAsia="pt-PT"/>
        </w:rPr>
      </w:pPr>
      <w:r w:rsidRPr="00D12D6F">
        <w:rPr>
          <w:rFonts w:ascii="Times New Roman" w:hAnsi="Times New Roman"/>
          <w:bCs/>
          <w:sz w:val="24"/>
          <w:szCs w:val="24"/>
        </w:rPr>
        <w:t>Produção individual dos examinandos:</w:t>
      </w:r>
    </w:p>
    <w:p w:rsidR="00D12D6F" w:rsidRPr="00D12D6F" w:rsidRDefault="00D12D6F" w:rsidP="000A0EDF">
      <w:pPr>
        <w:pStyle w:val="Contedodatabela"/>
        <w:ind w:left="1418"/>
        <w:jc w:val="both"/>
      </w:pPr>
      <w:r w:rsidRPr="00D12D6F">
        <w:t>O examinador entrega a cada examinando de cada vez imagens / frases / palavras para comentar.</w:t>
      </w:r>
    </w:p>
    <w:p w:rsidR="00D12D6F" w:rsidRPr="00D12D6F" w:rsidRDefault="00D12D6F" w:rsidP="000A0EDF">
      <w:pPr>
        <w:widowControl w:val="0"/>
        <w:autoSpaceDE w:val="0"/>
        <w:spacing w:after="0" w:line="240" w:lineRule="auto"/>
        <w:ind w:left="1418"/>
        <w:jc w:val="both"/>
        <w:rPr>
          <w:rFonts w:ascii="Times New Roman" w:hAnsi="Times New Roman"/>
          <w:sz w:val="24"/>
          <w:szCs w:val="24"/>
        </w:rPr>
      </w:pPr>
      <w:r w:rsidRPr="00D12D6F">
        <w:rPr>
          <w:rFonts w:ascii="Times New Roman" w:hAnsi="Times New Roman"/>
          <w:sz w:val="24"/>
          <w:szCs w:val="24"/>
        </w:rPr>
        <w:t>Cada examinando dispõe de 2 minutos para preparar e três minutos para se exprimir sem ser interrompido.</w:t>
      </w:r>
    </w:p>
    <w:p w:rsidR="00D12D6F" w:rsidRPr="00D12D6F" w:rsidRDefault="00D12D6F" w:rsidP="000A0EDF">
      <w:pPr>
        <w:widowControl w:val="0"/>
        <w:numPr>
          <w:ilvl w:val="0"/>
          <w:numId w:val="4"/>
        </w:numPr>
        <w:autoSpaceDE w:val="0"/>
        <w:spacing w:after="0" w:line="240" w:lineRule="auto"/>
        <w:ind w:left="1423" w:hanging="357"/>
        <w:jc w:val="both"/>
        <w:rPr>
          <w:rFonts w:ascii="Times New Roman" w:hAnsi="Times New Roman"/>
          <w:sz w:val="24"/>
          <w:szCs w:val="24"/>
        </w:rPr>
      </w:pPr>
      <w:r w:rsidRPr="00D12D6F">
        <w:rPr>
          <w:rFonts w:ascii="Times New Roman" w:hAnsi="Times New Roman"/>
          <w:bCs/>
          <w:sz w:val="24"/>
          <w:szCs w:val="24"/>
        </w:rPr>
        <w:t>Interação em pares: 1)</w:t>
      </w:r>
      <w:r w:rsidRPr="00D12D6F">
        <w:rPr>
          <w:rFonts w:ascii="Times New Roman" w:hAnsi="Times New Roman"/>
          <w:b/>
          <w:bCs/>
          <w:sz w:val="24"/>
          <w:szCs w:val="24"/>
        </w:rPr>
        <w:t xml:space="preserve"> </w:t>
      </w:r>
      <w:r w:rsidRPr="000A0EDF">
        <w:rPr>
          <w:rFonts w:ascii="Times New Roman" w:hAnsi="Times New Roman"/>
          <w:bCs/>
          <w:sz w:val="24"/>
          <w:szCs w:val="24"/>
        </w:rPr>
        <w:t>o</w:t>
      </w:r>
      <w:r w:rsidRPr="000A0EDF">
        <w:rPr>
          <w:rFonts w:ascii="Times New Roman" w:hAnsi="Times New Roman"/>
          <w:sz w:val="24"/>
          <w:szCs w:val="24"/>
        </w:rPr>
        <w:t>s</w:t>
      </w:r>
      <w:r w:rsidRPr="00D12D6F">
        <w:rPr>
          <w:rFonts w:ascii="Times New Roman" w:hAnsi="Times New Roman"/>
          <w:sz w:val="24"/>
          <w:szCs w:val="24"/>
        </w:rPr>
        <w:t xml:space="preserve"> examinados recebem uma imagem ou outros estímulos; 2) os examinandos dispõem de 2 minutos para preparar e 4 minutos para interagirem um com o outro</w:t>
      </w:r>
    </w:p>
    <w:p w:rsidR="00D12D6F" w:rsidRPr="00D12D6F" w:rsidRDefault="00D12D6F" w:rsidP="000A0EDF">
      <w:pPr>
        <w:widowControl w:val="0"/>
        <w:numPr>
          <w:ilvl w:val="0"/>
          <w:numId w:val="4"/>
        </w:numPr>
        <w:autoSpaceDE w:val="0"/>
        <w:spacing w:after="0" w:line="240" w:lineRule="auto"/>
        <w:ind w:left="1423" w:hanging="357"/>
        <w:jc w:val="both"/>
        <w:rPr>
          <w:rFonts w:ascii="Times New Roman" w:hAnsi="Times New Roman"/>
          <w:sz w:val="24"/>
          <w:szCs w:val="24"/>
          <w:lang w:eastAsia="pt-PT"/>
        </w:rPr>
      </w:pPr>
      <w:r w:rsidRPr="00D12D6F">
        <w:rPr>
          <w:rFonts w:ascii="Times New Roman" w:hAnsi="Times New Roman"/>
          <w:bCs/>
          <w:sz w:val="24"/>
          <w:szCs w:val="24"/>
        </w:rPr>
        <w:lastRenderedPageBreak/>
        <w:t>Interação examinador /examinando: 1) o</w:t>
      </w:r>
      <w:r w:rsidRPr="00D12D6F">
        <w:rPr>
          <w:rFonts w:ascii="Times New Roman" w:hAnsi="Times New Roman"/>
          <w:sz w:val="24"/>
          <w:szCs w:val="24"/>
        </w:rPr>
        <w:t xml:space="preserve"> examinador coloca 1 ou 2 questões sobre o tema em discussão; 2) os examinandos respondem durante cerca de 3 minutos.</w:t>
      </w:r>
    </w:p>
    <w:p w:rsidR="00D12D6F" w:rsidRPr="00D12D6F" w:rsidRDefault="00D12D6F" w:rsidP="00D12D6F">
      <w:pPr>
        <w:widowControl w:val="0"/>
        <w:autoSpaceDE w:val="0"/>
        <w:spacing w:after="0" w:line="240" w:lineRule="auto"/>
        <w:ind w:left="1068"/>
        <w:jc w:val="both"/>
        <w:rPr>
          <w:rFonts w:ascii="Times New Roman" w:hAnsi="Times New Roman"/>
          <w:sz w:val="24"/>
          <w:szCs w:val="24"/>
        </w:rPr>
      </w:pPr>
      <w:r w:rsidRPr="005F68AD">
        <w:rPr>
          <w:rFonts w:ascii="Times New Roman" w:hAnsi="Times New Roman"/>
          <w:b/>
          <w:sz w:val="20"/>
          <w:szCs w:val="20"/>
        </w:rPr>
        <w:t>NOTA</w:t>
      </w:r>
      <w:r w:rsidRPr="00D12D6F">
        <w:rPr>
          <w:rFonts w:ascii="Times New Roman" w:hAnsi="Times New Roman"/>
          <w:sz w:val="24"/>
          <w:szCs w:val="24"/>
        </w:rPr>
        <w:t xml:space="preserve">: </w:t>
      </w:r>
    </w:p>
    <w:p w:rsidR="005F68AD" w:rsidRPr="005F68AD" w:rsidRDefault="005F68AD" w:rsidP="005F68AD">
      <w:pPr>
        <w:autoSpaceDE w:val="0"/>
        <w:autoSpaceDN w:val="0"/>
        <w:adjustRightInd w:val="0"/>
        <w:spacing w:after="0" w:line="240" w:lineRule="auto"/>
        <w:ind w:left="1418"/>
        <w:jc w:val="both"/>
        <w:rPr>
          <w:rFonts w:ascii="Times New Roman" w:hAnsi="Times New Roman"/>
          <w:sz w:val="20"/>
          <w:szCs w:val="20"/>
        </w:rPr>
      </w:pPr>
      <w:r w:rsidRPr="005F68AD">
        <w:rPr>
          <w:rFonts w:ascii="Times New Roman" w:hAnsi="Times New Roman"/>
          <w:sz w:val="20"/>
          <w:szCs w:val="20"/>
        </w:rPr>
        <w:t xml:space="preserve">Os alunos são agrupados, preferencialmente, em pares. Caso o número de alunos seja ímpar, será constituído um trio. Na situação excecional de haver apenas um aluno, este realiza a prova sozinho. A constituição de pares/trios obedecerá à ordem da pauta de chamada. </w:t>
      </w:r>
    </w:p>
    <w:p w:rsidR="004E4BF8" w:rsidRPr="00806C8F" w:rsidRDefault="008E6C1F" w:rsidP="00D12D6F">
      <w:pPr>
        <w:pStyle w:val="PargrafodaLista"/>
        <w:spacing w:after="0" w:line="240" w:lineRule="auto"/>
        <w:ind w:left="644"/>
        <w:rPr>
          <w:rFonts w:ascii="Times New Roman" w:hAnsi="Times New Roman"/>
          <w:b/>
          <w:sz w:val="28"/>
          <w:szCs w:val="28"/>
        </w:rPr>
      </w:pPr>
      <w:r w:rsidRPr="00D12D6F">
        <w:rPr>
          <w:rFonts w:ascii="Times New Roman" w:hAnsi="Times New Roman"/>
          <w:b/>
          <w:sz w:val="24"/>
          <w:szCs w:val="24"/>
        </w:rPr>
        <w:br w:type="textWrapping" w:clear="all"/>
      </w:r>
    </w:p>
    <w:p w:rsidR="00806C8F" w:rsidRPr="00030F99" w:rsidRDefault="00D21DFA" w:rsidP="00030F99">
      <w:pPr>
        <w:pStyle w:val="PargrafodaLista"/>
        <w:numPr>
          <w:ilvl w:val="0"/>
          <w:numId w:val="1"/>
        </w:numPr>
        <w:rPr>
          <w:rFonts w:ascii="Times New Roman" w:hAnsi="Times New Roman"/>
          <w:b/>
          <w:sz w:val="28"/>
          <w:szCs w:val="28"/>
        </w:rPr>
      </w:pPr>
      <w:r w:rsidRPr="00806C8F">
        <w:rPr>
          <w:rFonts w:ascii="Times New Roman" w:hAnsi="Times New Roman"/>
          <w:b/>
          <w:sz w:val="28"/>
          <w:szCs w:val="28"/>
        </w:rPr>
        <w:t xml:space="preserve">Critérios </w:t>
      </w:r>
      <w:r w:rsidR="00030F99">
        <w:rPr>
          <w:rFonts w:ascii="Times New Roman" w:hAnsi="Times New Roman"/>
          <w:b/>
          <w:sz w:val="28"/>
          <w:szCs w:val="28"/>
        </w:rPr>
        <w:t xml:space="preserve">Gerais </w:t>
      </w:r>
      <w:r w:rsidRPr="00806C8F">
        <w:rPr>
          <w:rFonts w:ascii="Times New Roman" w:hAnsi="Times New Roman"/>
          <w:b/>
          <w:sz w:val="28"/>
          <w:szCs w:val="28"/>
        </w:rPr>
        <w:t xml:space="preserve">de </w:t>
      </w:r>
      <w:r w:rsidR="00030F99">
        <w:rPr>
          <w:rFonts w:ascii="Times New Roman" w:hAnsi="Times New Roman"/>
          <w:b/>
          <w:sz w:val="28"/>
          <w:szCs w:val="28"/>
        </w:rPr>
        <w:t>Classificação</w:t>
      </w:r>
    </w:p>
    <w:p w:rsidR="005F68AD" w:rsidRPr="005F68AD" w:rsidRDefault="005F68AD" w:rsidP="005F68AD">
      <w:pPr>
        <w:widowControl w:val="0"/>
        <w:autoSpaceDE w:val="0"/>
        <w:spacing w:after="0" w:line="360" w:lineRule="auto"/>
        <w:ind w:left="644"/>
        <w:jc w:val="both"/>
        <w:rPr>
          <w:rFonts w:ascii="Times New Roman" w:hAnsi="Times New Roman"/>
          <w:b/>
          <w:sz w:val="24"/>
          <w:szCs w:val="24"/>
          <w:lang w:eastAsia="pt-PT"/>
        </w:rPr>
      </w:pPr>
      <w:r w:rsidRPr="005F68AD">
        <w:rPr>
          <w:rFonts w:ascii="Times New Roman" w:hAnsi="Times New Roman"/>
          <w:b/>
          <w:sz w:val="24"/>
          <w:szCs w:val="24"/>
          <w:lang w:eastAsia="pt-PT"/>
        </w:rPr>
        <w:t>Prova escrita</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Os critérios de classificação têm por base os descritores do </w:t>
      </w:r>
      <w:r w:rsidRPr="005F68AD">
        <w:rPr>
          <w:rFonts w:ascii="Times New Roman" w:hAnsi="Times New Roman"/>
          <w:i/>
          <w:iCs/>
          <w:sz w:val="24"/>
          <w:szCs w:val="24"/>
          <w:lang w:eastAsia="pt-PT"/>
        </w:rPr>
        <w:t xml:space="preserve">Quadro Europeu Comum de Referência para as Línguas </w:t>
      </w:r>
      <w:r w:rsidRPr="005F68AD">
        <w:rPr>
          <w:rFonts w:ascii="Times New Roman" w:hAnsi="Times New Roman"/>
          <w:sz w:val="24"/>
          <w:szCs w:val="24"/>
          <w:lang w:eastAsia="pt-PT"/>
        </w:rPr>
        <w:t>relativos às diferentes competências de uso da língua – ler e escrever – e à competência sociocultural.</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A classificação a atribuir a cada resposta resulta da aplicação dos critérios gerais e dos critérios específicos de classificação apresentados para cada item e é expressa por um número inteiro, previsto na grelha de classificação.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Se o examinando responder a um mesmo item mais do que uma vez, não eliminando inequivocamente a(s) resposta(s) que não deseja que seja(m) classificada(s), deve ser considerada apenas a resposta que surgir em primeiro lugar.</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Todos os itens apresentam critérios específicos de classificação organizados por níveis de desempenho. A cada um desses níveis é atribuída uma dada pontuação. Para a generalidade dos itens, são considerados de um a </w:t>
      </w:r>
      <w:r w:rsidRPr="005F68AD">
        <w:rPr>
          <w:rFonts w:ascii="Times New Roman" w:hAnsi="Times New Roman"/>
          <w:b/>
          <w:sz w:val="24"/>
          <w:szCs w:val="24"/>
          <w:lang w:eastAsia="pt-PT"/>
        </w:rPr>
        <w:t>cinco</w:t>
      </w:r>
      <w:r w:rsidRPr="005F68AD">
        <w:rPr>
          <w:rFonts w:ascii="Times New Roman" w:hAnsi="Times New Roman"/>
          <w:sz w:val="24"/>
          <w:szCs w:val="24"/>
          <w:lang w:eastAsia="pt-PT"/>
        </w:rPr>
        <w:t xml:space="preserve"> níveis (</w:t>
      </w:r>
      <w:r w:rsidRPr="005F68AD">
        <w:rPr>
          <w:rFonts w:ascii="Times New Roman" w:hAnsi="Times New Roman"/>
          <w:b/>
          <w:sz w:val="24"/>
          <w:szCs w:val="24"/>
          <w:lang w:eastAsia="pt-PT"/>
        </w:rPr>
        <w:t>N5, N4, N3, N2 e N1</w:t>
      </w:r>
      <w:r w:rsidRPr="005F68AD">
        <w:rPr>
          <w:rFonts w:ascii="Times New Roman" w:hAnsi="Times New Roman"/>
          <w:sz w:val="24"/>
          <w:szCs w:val="24"/>
          <w:lang w:eastAsia="pt-PT"/>
        </w:rPr>
        <w:t xml:space="preserve">); para a tarefa final são considerados sempre </w:t>
      </w:r>
      <w:r w:rsidRPr="005F68AD">
        <w:rPr>
          <w:rFonts w:ascii="Times New Roman" w:hAnsi="Times New Roman"/>
          <w:b/>
          <w:sz w:val="24"/>
          <w:szCs w:val="24"/>
          <w:lang w:eastAsia="pt-PT"/>
        </w:rPr>
        <w:t>cinco</w:t>
      </w:r>
      <w:r w:rsidRPr="005F68AD">
        <w:rPr>
          <w:rFonts w:ascii="Times New Roman" w:hAnsi="Times New Roman"/>
          <w:sz w:val="24"/>
          <w:szCs w:val="24"/>
          <w:lang w:eastAsia="pt-PT"/>
        </w:rPr>
        <w:t xml:space="preserve"> níveis (</w:t>
      </w:r>
      <w:r w:rsidRPr="005F68AD">
        <w:rPr>
          <w:rFonts w:ascii="Times New Roman" w:hAnsi="Times New Roman"/>
          <w:b/>
          <w:sz w:val="24"/>
          <w:szCs w:val="24"/>
          <w:lang w:eastAsia="pt-PT"/>
        </w:rPr>
        <w:t>N5, N4, N3, N2 e N1</w:t>
      </w:r>
      <w:r w:rsidRPr="005F68AD">
        <w:rPr>
          <w:rFonts w:ascii="Times New Roman" w:hAnsi="Times New Roman"/>
          <w:sz w:val="24"/>
          <w:szCs w:val="24"/>
          <w:lang w:eastAsia="pt-PT"/>
        </w:rPr>
        <w:t>) em cada parâmetro – competência pragmática e competência linguística. Qualquer resposta que não corresponda ao nível mais alto descrito é integrada num dos outros níveis apresentados, de acordo com o desempenho observado.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Estão previstos níveis de desempenho intercalares não descritos. Nestes casos, sempre que uma resposta revele um desempenho que não se integre em nenhum de dois níveis consecutivos descritos, deve ser-lhe atribuída a pontuação correspondente ao nível intercalar que os separa.</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É classificada com </w:t>
      </w:r>
      <w:r w:rsidRPr="005F68AD">
        <w:rPr>
          <w:rFonts w:ascii="Times New Roman" w:hAnsi="Times New Roman"/>
          <w:b/>
          <w:sz w:val="24"/>
          <w:szCs w:val="24"/>
          <w:lang w:eastAsia="pt-PT"/>
        </w:rPr>
        <w:t>zero</w:t>
      </w:r>
      <w:r w:rsidRPr="005F68AD">
        <w:rPr>
          <w:rFonts w:ascii="Times New Roman" w:hAnsi="Times New Roman"/>
          <w:sz w:val="24"/>
          <w:szCs w:val="24"/>
          <w:lang w:eastAsia="pt-PT"/>
        </w:rPr>
        <w:t xml:space="preserve"> pontos qualquer resposta que não atinja o nível 1 de desempenho.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Nos itens de seleção, qualquer resposta indicada de forma equívoca, por exemplo, fornecendo mais elementos do que o(s) pedido(s), é classificada com zero pontos. No caso dos itens constituídos por várias alíneas, a classificação é atribuída de acordo com o nível de desempenho observado na sua totalidade.</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rPr>
      </w:pPr>
      <w:r w:rsidRPr="005F68AD">
        <w:rPr>
          <w:rFonts w:ascii="Times New Roman" w:hAnsi="Times New Roman"/>
          <w:sz w:val="24"/>
          <w:szCs w:val="24"/>
          <w:lang w:eastAsia="pt-PT"/>
        </w:rPr>
        <w:t xml:space="preserve">Nos itens de construção, é atribuída a classificação de zero pontos a respostas que não correspondam ao solicitado, independentemente da qualidade do texto produzido, nomeadamente na tarefa final, </w:t>
      </w:r>
      <w:r w:rsidRPr="005F68AD">
        <w:rPr>
          <w:rFonts w:ascii="Times New Roman" w:hAnsi="Times New Roman"/>
          <w:sz w:val="24"/>
          <w:szCs w:val="24"/>
          <w:lang w:eastAsia="pt-PT"/>
        </w:rPr>
        <w:lastRenderedPageBreak/>
        <w:t>onde a competência linguística só é avaliada se o examinando tiver tratado o tema proposto e se tiver obtido, pelo menos, a classificação mínima na competência pragmática.</w:t>
      </w:r>
    </w:p>
    <w:p w:rsidR="005F68AD" w:rsidRPr="005F68AD" w:rsidRDefault="005F68AD" w:rsidP="005F68AD">
      <w:pPr>
        <w:widowControl w:val="0"/>
        <w:autoSpaceDE w:val="0"/>
        <w:spacing w:after="0" w:line="360" w:lineRule="auto"/>
        <w:ind w:left="644"/>
        <w:jc w:val="both"/>
        <w:rPr>
          <w:rFonts w:ascii="Times New Roman" w:hAnsi="Times New Roman"/>
          <w:b/>
          <w:sz w:val="24"/>
          <w:szCs w:val="24"/>
          <w:lang w:eastAsia="pt-PT"/>
        </w:rPr>
      </w:pPr>
      <w:r w:rsidRPr="005F68AD">
        <w:rPr>
          <w:rFonts w:ascii="Times New Roman" w:hAnsi="Times New Roman"/>
          <w:b/>
          <w:sz w:val="24"/>
          <w:szCs w:val="24"/>
          <w:lang w:eastAsia="pt-PT"/>
        </w:rPr>
        <w:t>Prova oral</w:t>
      </w:r>
    </w:p>
    <w:p w:rsidR="005F68AD" w:rsidRPr="005F68AD" w:rsidRDefault="005F68AD" w:rsidP="005F68AD">
      <w:pPr>
        <w:snapToGrid w:val="0"/>
        <w:spacing w:after="0" w:line="360" w:lineRule="auto"/>
        <w:ind w:left="644"/>
        <w:jc w:val="both"/>
        <w:rPr>
          <w:rFonts w:ascii="Times New Roman" w:hAnsi="Times New Roman"/>
          <w:sz w:val="24"/>
          <w:szCs w:val="24"/>
        </w:rPr>
      </w:pPr>
      <w:r w:rsidRPr="005F68AD">
        <w:rPr>
          <w:rFonts w:ascii="Times New Roman" w:hAnsi="Times New Roman"/>
          <w:sz w:val="24"/>
          <w:szCs w:val="24"/>
        </w:rPr>
        <w:t>Os critérios de classificação estão organizados por 5 níveis de desempenho, aos quais correspondem cotações fixas, relacionados com os seguintes parâmetros:</w:t>
      </w:r>
    </w:p>
    <w:p w:rsidR="005F68AD" w:rsidRPr="005F68AD" w:rsidRDefault="005F68AD" w:rsidP="005F68AD">
      <w:pPr>
        <w:pStyle w:val="Contedodatabela"/>
        <w:spacing w:line="360" w:lineRule="auto"/>
        <w:ind w:left="644"/>
        <w:jc w:val="both"/>
      </w:pPr>
      <w:r w:rsidRPr="005F68AD">
        <w:rPr>
          <w:b/>
        </w:rPr>
        <w:t>Âmbito</w:t>
      </w:r>
      <w:r w:rsidRPr="005F68AD">
        <w:t xml:space="preserve"> - Meios linguísticos</w:t>
      </w:r>
    </w:p>
    <w:p w:rsidR="005F68AD" w:rsidRPr="005F68AD" w:rsidRDefault="005F68AD" w:rsidP="005F68AD">
      <w:pPr>
        <w:pStyle w:val="Contedodatabela"/>
        <w:spacing w:line="360" w:lineRule="auto"/>
        <w:ind w:left="644"/>
        <w:jc w:val="both"/>
      </w:pPr>
      <w:r w:rsidRPr="005F68AD">
        <w:rPr>
          <w:b/>
        </w:rPr>
        <w:t>Correção</w:t>
      </w:r>
      <w:r>
        <w:rPr>
          <w:b/>
        </w:rPr>
        <w:t>/Controlo</w:t>
      </w:r>
      <w:r w:rsidRPr="005F68AD">
        <w:t xml:space="preserve"> - Correção vocabular e correção claramente inteligível</w:t>
      </w:r>
    </w:p>
    <w:p w:rsidR="005F68AD" w:rsidRPr="005F68AD" w:rsidRDefault="005F68AD" w:rsidP="005F68AD">
      <w:pPr>
        <w:pStyle w:val="Contedodatabela"/>
        <w:spacing w:line="360" w:lineRule="auto"/>
        <w:ind w:left="644"/>
        <w:jc w:val="both"/>
      </w:pPr>
      <w:r w:rsidRPr="005F68AD">
        <w:rPr>
          <w:b/>
        </w:rPr>
        <w:t>Fluência</w:t>
      </w:r>
      <w:r w:rsidRPr="005F68AD">
        <w:t xml:space="preserve"> – Produção de discurso com relativo à-vontade</w:t>
      </w:r>
    </w:p>
    <w:p w:rsidR="005F68AD" w:rsidRPr="005F68AD" w:rsidRDefault="005F68AD" w:rsidP="005F68AD">
      <w:pPr>
        <w:pStyle w:val="Contedodatabela"/>
        <w:spacing w:line="360" w:lineRule="auto"/>
        <w:ind w:left="644"/>
        <w:jc w:val="both"/>
      </w:pPr>
      <w:r w:rsidRPr="005F68AD">
        <w:rPr>
          <w:b/>
        </w:rPr>
        <w:t>Desenvolvimento temático</w:t>
      </w:r>
      <w:r>
        <w:rPr>
          <w:b/>
        </w:rPr>
        <w:t>, C</w:t>
      </w:r>
      <w:r w:rsidRPr="005F68AD">
        <w:rPr>
          <w:b/>
        </w:rPr>
        <w:t>oerência</w:t>
      </w:r>
      <w:r>
        <w:rPr>
          <w:b/>
        </w:rPr>
        <w:t xml:space="preserve"> e Coesão</w:t>
      </w:r>
      <w:r w:rsidRPr="005F68AD">
        <w:t xml:space="preserve"> - Desenvolvimento com precisão os assuntos propostos, apresentando informação essencial utilizando palavras de ligação variadas para relacionar as ideias</w:t>
      </w:r>
    </w:p>
    <w:p w:rsidR="005F68AD" w:rsidRPr="005F68AD" w:rsidRDefault="005F68AD" w:rsidP="005F68AD">
      <w:pPr>
        <w:pStyle w:val="Contedodatabela"/>
        <w:spacing w:line="360" w:lineRule="auto"/>
        <w:ind w:left="644"/>
        <w:jc w:val="both"/>
      </w:pPr>
      <w:r w:rsidRPr="005F68AD">
        <w:rPr>
          <w:b/>
        </w:rPr>
        <w:t>Interação</w:t>
      </w:r>
      <w:r w:rsidRPr="005F68AD">
        <w:t xml:space="preserve"> – Inicia, mantém e conclui conversas, mantém a atenção do interlocutor, exprime e reage a um vasto leque de funções linguísticas.</w:t>
      </w:r>
    </w:p>
    <w:p w:rsidR="000A6220" w:rsidRDefault="000A6220" w:rsidP="000A6220">
      <w:pPr>
        <w:pStyle w:val="PargrafodaLista"/>
        <w:ind w:left="644"/>
        <w:rPr>
          <w:rFonts w:ascii="Times New Roman" w:hAnsi="Times New Roman"/>
          <w:b/>
          <w:sz w:val="16"/>
          <w:szCs w:val="16"/>
        </w:rPr>
      </w:pPr>
    </w:p>
    <w:p w:rsidR="005F68AD" w:rsidRDefault="005F68AD" w:rsidP="000A6220">
      <w:pPr>
        <w:pStyle w:val="PargrafodaLista"/>
        <w:ind w:left="644"/>
        <w:rPr>
          <w:rFonts w:ascii="Times New Roman" w:hAnsi="Times New Roman"/>
          <w:b/>
          <w:sz w:val="16"/>
          <w:szCs w:val="16"/>
        </w:rPr>
      </w:pPr>
    </w:p>
    <w:p w:rsidR="00030F99" w:rsidRPr="00806C8F" w:rsidRDefault="00030F99" w:rsidP="00030F99">
      <w:pPr>
        <w:pStyle w:val="PargrafodaLista"/>
        <w:numPr>
          <w:ilvl w:val="0"/>
          <w:numId w:val="1"/>
        </w:numPr>
        <w:rPr>
          <w:rFonts w:ascii="Times New Roman" w:hAnsi="Times New Roman"/>
          <w:b/>
          <w:sz w:val="28"/>
          <w:szCs w:val="28"/>
        </w:rPr>
      </w:pPr>
      <w:r w:rsidRPr="00806C8F">
        <w:rPr>
          <w:rFonts w:ascii="Times New Roman" w:hAnsi="Times New Roman"/>
          <w:b/>
          <w:sz w:val="28"/>
          <w:szCs w:val="28"/>
        </w:rPr>
        <w:t>Duração da Prova</w:t>
      </w:r>
    </w:p>
    <w:p w:rsidR="005F68AD" w:rsidRPr="005F68AD" w:rsidRDefault="005F68AD" w:rsidP="005F68AD">
      <w:pPr>
        <w:widowControl w:val="0"/>
        <w:autoSpaceDE w:val="0"/>
        <w:spacing w:line="268" w:lineRule="exact"/>
        <w:ind w:firstLine="644"/>
        <w:jc w:val="both"/>
        <w:rPr>
          <w:rFonts w:ascii="Times New Roman" w:hAnsi="Times New Roman"/>
          <w:sz w:val="24"/>
          <w:szCs w:val="24"/>
        </w:rPr>
      </w:pPr>
      <w:r w:rsidRPr="005F68AD">
        <w:rPr>
          <w:rFonts w:ascii="Times New Roman" w:hAnsi="Times New Roman"/>
          <w:sz w:val="24"/>
          <w:szCs w:val="24"/>
          <w:lang w:eastAsia="pt-PT"/>
        </w:rPr>
        <w:t xml:space="preserve">A prova </w:t>
      </w:r>
      <w:r w:rsidRPr="005F68AD">
        <w:rPr>
          <w:rFonts w:ascii="Times New Roman" w:hAnsi="Times New Roman"/>
          <w:b/>
          <w:sz w:val="24"/>
          <w:szCs w:val="24"/>
          <w:lang w:eastAsia="pt-PT"/>
        </w:rPr>
        <w:t>escrita</w:t>
      </w:r>
      <w:r w:rsidRPr="005F68AD">
        <w:rPr>
          <w:rFonts w:ascii="Times New Roman" w:hAnsi="Times New Roman"/>
          <w:sz w:val="24"/>
          <w:szCs w:val="24"/>
          <w:lang w:eastAsia="pt-PT"/>
        </w:rPr>
        <w:t xml:space="preserve"> tem a duração de 90 minutos e a prova </w:t>
      </w:r>
      <w:r w:rsidRPr="005F68AD">
        <w:rPr>
          <w:rFonts w:ascii="Times New Roman" w:hAnsi="Times New Roman"/>
          <w:b/>
          <w:sz w:val="24"/>
          <w:szCs w:val="24"/>
          <w:lang w:eastAsia="pt-PT"/>
        </w:rPr>
        <w:t>oral</w:t>
      </w:r>
      <w:r w:rsidRPr="005F68AD">
        <w:rPr>
          <w:rFonts w:ascii="Times New Roman" w:hAnsi="Times New Roman"/>
          <w:sz w:val="24"/>
          <w:szCs w:val="24"/>
          <w:lang w:eastAsia="pt-PT"/>
        </w:rPr>
        <w:t xml:space="preserve"> tem a duração de 25 minutos.</w:t>
      </w:r>
    </w:p>
    <w:p w:rsidR="000A6220" w:rsidRDefault="000A6220" w:rsidP="005F68AD">
      <w:pPr>
        <w:pStyle w:val="PargrafodaLista"/>
        <w:ind w:left="284"/>
        <w:rPr>
          <w:rFonts w:ascii="Times New Roman" w:hAnsi="Times New Roman"/>
          <w:b/>
          <w:sz w:val="16"/>
          <w:szCs w:val="16"/>
        </w:rPr>
      </w:pPr>
    </w:p>
    <w:p w:rsidR="00047B31" w:rsidRPr="00806C8F" w:rsidRDefault="00030F99" w:rsidP="00D21DFA">
      <w:pPr>
        <w:pStyle w:val="PargrafodaLista"/>
        <w:numPr>
          <w:ilvl w:val="0"/>
          <w:numId w:val="1"/>
        </w:numPr>
        <w:rPr>
          <w:rFonts w:ascii="Times New Roman" w:hAnsi="Times New Roman"/>
          <w:b/>
          <w:sz w:val="28"/>
          <w:szCs w:val="28"/>
        </w:rPr>
      </w:pPr>
      <w:r>
        <w:rPr>
          <w:rFonts w:ascii="Times New Roman" w:hAnsi="Times New Roman"/>
          <w:b/>
          <w:sz w:val="28"/>
          <w:szCs w:val="28"/>
        </w:rPr>
        <w:t>Material que pode ser usado na prova</w:t>
      </w:r>
    </w:p>
    <w:p w:rsidR="005F68AD" w:rsidRPr="005F68AD" w:rsidRDefault="005F68AD" w:rsidP="005F68AD">
      <w:pPr>
        <w:widowControl w:val="0"/>
        <w:autoSpaceDE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O examinando apenas pode usar na prova </w:t>
      </w:r>
      <w:r w:rsidRPr="005F68AD">
        <w:rPr>
          <w:rFonts w:ascii="Times New Roman" w:hAnsi="Times New Roman"/>
          <w:b/>
          <w:sz w:val="24"/>
          <w:szCs w:val="24"/>
          <w:lang w:eastAsia="pt-PT"/>
        </w:rPr>
        <w:t>escrita</w:t>
      </w:r>
      <w:r w:rsidRPr="005F68AD">
        <w:rPr>
          <w:rFonts w:ascii="Times New Roman" w:hAnsi="Times New Roman"/>
          <w:sz w:val="24"/>
          <w:szCs w:val="24"/>
          <w:lang w:eastAsia="pt-PT"/>
        </w:rPr>
        <w:t>, como material de escrita, caneta ou esferográfica de tinta indelével, azul ou preta.</w:t>
      </w:r>
    </w:p>
    <w:p w:rsidR="005F68AD" w:rsidRPr="005F68AD" w:rsidRDefault="005F68AD" w:rsidP="005F68AD">
      <w:pPr>
        <w:widowControl w:val="0"/>
        <w:autoSpaceDE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As respostas são registadas em folha própria, fornecida pelo estabelecimento de ensino (modelo oficial).</w:t>
      </w:r>
    </w:p>
    <w:p w:rsidR="005F68AD" w:rsidRPr="005F68AD" w:rsidRDefault="00DD6CAD" w:rsidP="005F68AD">
      <w:pPr>
        <w:widowControl w:val="0"/>
        <w:autoSpaceDE w:val="0"/>
        <w:spacing w:after="0" w:line="360" w:lineRule="auto"/>
        <w:ind w:left="644"/>
        <w:jc w:val="both"/>
        <w:rPr>
          <w:rFonts w:ascii="Times New Roman" w:hAnsi="Times New Roman"/>
          <w:sz w:val="24"/>
          <w:szCs w:val="24"/>
          <w:lang w:eastAsia="pt-PT"/>
        </w:rPr>
      </w:pPr>
      <w:r>
        <w:rPr>
          <w:rFonts w:ascii="Times New Roman" w:hAnsi="Times New Roman"/>
          <w:sz w:val="24"/>
          <w:szCs w:val="24"/>
          <w:lang w:eastAsia="pt-PT"/>
        </w:rPr>
        <w:t>Não é</w:t>
      </w:r>
      <w:r w:rsidR="005F68AD" w:rsidRPr="005F68AD">
        <w:rPr>
          <w:rFonts w:ascii="Times New Roman" w:hAnsi="Times New Roman"/>
          <w:sz w:val="24"/>
          <w:szCs w:val="24"/>
          <w:lang w:eastAsia="pt-PT"/>
        </w:rPr>
        <w:t xml:space="preserve"> perm</w:t>
      </w:r>
      <w:r>
        <w:rPr>
          <w:rFonts w:ascii="Times New Roman" w:hAnsi="Times New Roman"/>
          <w:sz w:val="24"/>
          <w:szCs w:val="24"/>
          <w:lang w:eastAsia="pt-PT"/>
        </w:rPr>
        <w:t>itida a consulta de dicionários.</w:t>
      </w:r>
    </w:p>
    <w:p w:rsidR="005F68AD" w:rsidRPr="005F68AD" w:rsidRDefault="005F68AD" w:rsidP="005F68AD">
      <w:pPr>
        <w:widowControl w:val="0"/>
        <w:autoSpaceDE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Não é permitido o uso de corretor.</w:t>
      </w:r>
    </w:p>
    <w:p w:rsidR="00030F99" w:rsidRDefault="00030F99" w:rsidP="005F68AD">
      <w:pPr>
        <w:rPr>
          <w:rFonts w:ascii="Times New Roman" w:hAnsi="Times New Roman"/>
          <w:b/>
          <w:color w:val="548DD4"/>
          <w:sz w:val="28"/>
          <w:szCs w:val="28"/>
        </w:rPr>
      </w:pPr>
    </w:p>
    <w:p w:rsidR="005F68AD" w:rsidRPr="00806C8F" w:rsidRDefault="005F68AD" w:rsidP="005F68AD">
      <w:pPr>
        <w:rPr>
          <w:rFonts w:ascii="Times New Roman" w:hAnsi="Times New Roman"/>
          <w:b/>
          <w:color w:val="548DD4"/>
          <w:sz w:val="28"/>
          <w:szCs w:val="28"/>
        </w:rPr>
      </w:pPr>
    </w:p>
    <w:p w:rsidR="000A6220" w:rsidRDefault="000A6220" w:rsidP="000A6220">
      <w:pPr>
        <w:tabs>
          <w:tab w:val="left" w:pos="1257"/>
        </w:tabs>
      </w:pPr>
    </w:p>
    <w:sectPr w:rsidR="000A6220" w:rsidSect="00C3210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FC" w:rsidRDefault="005F7FFC" w:rsidP="00875FC8">
      <w:pPr>
        <w:spacing w:after="0" w:line="240" w:lineRule="auto"/>
      </w:pPr>
      <w:r>
        <w:separator/>
      </w:r>
    </w:p>
  </w:endnote>
  <w:endnote w:type="continuationSeparator" w:id="1">
    <w:p w:rsidR="005F7FFC" w:rsidRDefault="005F7FFC" w:rsidP="00875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3B" w:rsidRPr="00671D84" w:rsidRDefault="0061313B" w:rsidP="0061313B">
    <w:pPr>
      <w:pStyle w:val="Rodap"/>
      <w:jc w:val="right"/>
      <w:rPr>
        <w:rFonts w:ascii="Times New Roman" w:hAnsi="Times New Roman"/>
        <w:sz w:val="18"/>
        <w:szCs w:val="18"/>
      </w:rPr>
    </w:pPr>
    <w:r>
      <w:rPr>
        <w:rFonts w:ascii="Times New Roman" w:hAnsi="Times New Roman"/>
        <w:sz w:val="18"/>
        <w:szCs w:val="18"/>
      </w:rPr>
      <w:t>Informação Prova de Equivalência à Frequência</w:t>
    </w:r>
    <w:r w:rsidRPr="00671D84">
      <w:rPr>
        <w:rFonts w:ascii="Times New Roman" w:hAnsi="Times New Roman"/>
        <w:sz w:val="18"/>
        <w:szCs w:val="18"/>
      </w:rPr>
      <w:t xml:space="preserve"> – </w:t>
    </w:r>
    <w:r>
      <w:rPr>
        <w:rFonts w:ascii="Times New Roman" w:hAnsi="Times New Roman"/>
        <w:sz w:val="18"/>
        <w:szCs w:val="18"/>
      </w:rPr>
      <w:t>Espanhol - 375</w:t>
    </w:r>
    <w:r w:rsidRPr="00671D84">
      <w:rPr>
        <w:rFonts w:ascii="Times New Roman" w:hAnsi="Times New Roman"/>
        <w:sz w:val="18"/>
        <w:szCs w:val="18"/>
      </w:rPr>
      <w:t xml:space="preserve"> - </w:t>
    </w:r>
    <w:sdt>
      <w:sdtPr>
        <w:rPr>
          <w:rFonts w:ascii="Times New Roman" w:hAnsi="Times New Roman"/>
          <w:sz w:val="18"/>
          <w:szCs w:val="18"/>
        </w:rPr>
        <w:id w:val="13300991"/>
        <w:docPartObj>
          <w:docPartGallery w:val="Page Numbers (Bottom of Page)"/>
          <w:docPartUnique/>
        </w:docPartObj>
      </w:sdtPr>
      <w:sdtContent>
        <w:sdt>
          <w:sdtPr>
            <w:rPr>
              <w:rFonts w:ascii="Times New Roman" w:hAnsi="Times New Roman"/>
              <w:sz w:val="18"/>
              <w:szCs w:val="18"/>
            </w:rPr>
            <w:id w:val="1389081747"/>
            <w:docPartObj>
              <w:docPartGallery w:val="Page Numbers (Top of Page)"/>
              <w:docPartUnique/>
            </w:docPartObj>
          </w:sdtPr>
          <w:sdtContent>
            <w:r w:rsidRPr="00671D84">
              <w:rPr>
                <w:rFonts w:ascii="Times New Roman" w:hAnsi="Times New Roman"/>
                <w:sz w:val="18"/>
                <w:szCs w:val="18"/>
              </w:rPr>
              <w:t xml:space="preserve">Página </w:t>
            </w:r>
            <w:r w:rsidRPr="00671D84">
              <w:rPr>
                <w:rFonts w:ascii="Times New Roman" w:hAnsi="Times New Roman"/>
                <w:b/>
                <w:sz w:val="18"/>
                <w:szCs w:val="18"/>
              </w:rPr>
              <w:fldChar w:fldCharType="begin"/>
            </w:r>
            <w:r w:rsidRPr="00671D84">
              <w:rPr>
                <w:rFonts w:ascii="Times New Roman" w:hAnsi="Times New Roman"/>
                <w:b/>
                <w:sz w:val="18"/>
                <w:szCs w:val="18"/>
              </w:rPr>
              <w:instrText>PAGE</w:instrText>
            </w:r>
            <w:r w:rsidRPr="00671D84">
              <w:rPr>
                <w:rFonts w:ascii="Times New Roman" w:hAnsi="Times New Roman"/>
                <w:b/>
                <w:sz w:val="18"/>
                <w:szCs w:val="18"/>
              </w:rPr>
              <w:fldChar w:fldCharType="separate"/>
            </w:r>
            <w:r>
              <w:rPr>
                <w:rFonts w:ascii="Times New Roman" w:hAnsi="Times New Roman"/>
                <w:b/>
                <w:noProof/>
                <w:sz w:val="18"/>
                <w:szCs w:val="18"/>
              </w:rPr>
              <w:t>1</w:t>
            </w:r>
            <w:r w:rsidRPr="00671D84">
              <w:rPr>
                <w:rFonts w:ascii="Times New Roman" w:hAnsi="Times New Roman"/>
                <w:b/>
                <w:sz w:val="18"/>
                <w:szCs w:val="18"/>
              </w:rPr>
              <w:fldChar w:fldCharType="end"/>
            </w:r>
            <w:r w:rsidRPr="00671D84">
              <w:rPr>
                <w:rFonts w:ascii="Times New Roman" w:hAnsi="Times New Roman"/>
                <w:sz w:val="18"/>
                <w:szCs w:val="18"/>
              </w:rPr>
              <w:t xml:space="preserve"> de </w:t>
            </w:r>
            <w:r w:rsidRPr="00671D84">
              <w:rPr>
                <w:rFonts w:ascii="Times New Roman" w:hAnsi="Times New Roman"/>
                <w:b/>
                <w:sz w:val="18"/>
                <w:szCs w:val="18"/>
              </w:rPr>
              <w:fldChar w:fldCharType="begin"/>
            </w:r>
            <w:r w:rsidRPr="00671D84">
              <w:rPr>
                <w:rFonts w:ascii="Times New Roman" w:hAnsi="Times New Roman"/>
                <w:b/>
                <w:sz w:val="18"/>
                <w:szCs w:val="18"/>
              </w:rPr>
              <w:instrText>NUMPAGES</w:instrText>
            </w:r>
            <w:r w:rsidRPr="00671D84">
              <w:rPr>
                <w:rFonts w:ascii="Times New Roman" w:hAnsi="Times New Roman"/>
                <w:b/>
                <w:sz w:val="18"/>
                <w:szCs w:val="18"/>
              </w:rPr>
              <w:fldChar w:fldCharType="separate"/>
            </w:r>
            <w:r>
              <w:rPr>
                <w:rFonts w:ascii="Times New Roman" w:hAnsi="Times New Roman"/>
                <w:b/>
                <w:noProof/>
                <w:sz w:val="18"/>
                <w:szCs w:val="18"/>
              </w:rPr>
              <w:t>4</w:t>
            </w:r>
            <w:r w:rsidRPr="00671D84">
              <w:rPr>
                <w:rFonts w:ascii="Times New Roman" w:hAnsi="Times New Roman"/>
                <w:b/>
                <w:sz w:val="18"/>
                <w:szCs w:val="18"/>
              </w:rPr>
              <w:fldChar w:fldCharType="end"/>
            </w:r>
          </w:sdtContent>
        </w:sdt>
      </w:sdtContent>
    </w:sdt>
  </w:p>
  <w:p w:rsidR="00875FC8" w:rsidRDefault="00875F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FC" w:rsidRDefault="005F7FFC" w:rsidP="00875FC8">
      <w:pPr>
        <w:spacing w:after="0" w:line="240" w:lineRule="auto"/>
      </w:pPr>
      <w:r>
        <w:separator/>
      </w:r>
    </w:p>
  </w:footnote>
  <w:footnote w:type="continuationSeparator" w:id="1">
    <w:p w:rsidR="005F7FFC" w:rsidRDefault="005F7FFC" w:rsidP="00875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352"/>
    <w:multiLevelType w:val="hybridMultilevel"/>
    <w:tmpl w:val="3648C1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40F6671"/>
    <w:multiLevelType w:val="hybridMultilevel"/>
    <w:tmpl w:val="7A20AB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4E20439"/>
    <w:multiLevelType w:val="hybridMultilevel"/>
    <w:tmpl w:val="F3EA1FFE"/>
    <w:lvl w:ilvl="0" w:tplc="B2784940">
      <w:start w:val="1"/>
      <w:numFmt w:val="decimal"/>
      <w:lvlText w:val="%1."/>
      <w:lvlJc w:val="left"/>
      <w:pPr>
        <w:ind w:left="644" w:hanging="360"/>
      </w:pPr>
      <w:rPr>
        <w:b/>
        <w:sz w:val="28"/>
        <w:szCs w:val="28"/>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nsid w:val="636307F4"/>
    <w:multiLevelType w:val="hybridMultilevel"/>
    <w:tmpl w:val="8488E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34A9"/>
    <w:rsid w:val="00030F99"/>
    <w:rsid w:val="00047B31"/>
    <w:rsid w:val="00060386"/>
    <w:rsid w:val="000A0EDF"/>
    <w:rsid w:val="000A1C68"/>
    <w:rsid w:val="000A6220"/>
    <w:rsid w:val="00131556"/>
    <w:rsid w:val="00167DFC"/>
    <w:rsid w:val="001706C7"/>
    <w:rsid w:val="00190816"/>
    <w:rsid w:val="001B69B7"/>
    <w:rsid w:val="001E00BE"/>
    <w:rsid w:val="00233C01"/>
    <w:rsid w:val="002420E9"/>
    <w:rsid w:val="002634A9"/>
    <w:rsid w:val="003130B2"/>
    <w:rsid w:val="00347D12"/>
    <w:rsid w:val="003823E6"/>
    <w:rsid w:val="00393A05"/>
    <w:rsid w:val="003D6961"/>
    <w:rsid w:val="00440DA2"/>
    <w:rsid w:val="00463F31"/>
    <w:rsid w:val="004A02B0"/>
    <w:rsid w:val="004E4BF8"/>
    <w:rsid w:val="00501F99"/>
    <w:rsid w:val="005558E5"/>
    <w:rsid w:val="005D03D4"/>
    <w:rsid w:val="005F5DD7"/>
    <w:rsid w:val="005F68AD"/>
    <w:rsid w:val="005F7FFC"/>
    <w:rsid w:val="0061313B"/>
    <w:rsid w:val="00664CCA"/>
    <w:rsid w:val="00724380"/>
    <w:rsid w:val="00736A1B"/>
    <w:rsid w:val="00737B09"/>
    <w:rsid w:val="00740B44"/>
    <w:rsid w:val="007A5939"/>
    <w:rsid w:val="00806C8F"/>
    <w:rsid w:val="00813FD8"/>
    <w:rsid w:val="00846D99"/>
    <w:rsid w:val="0086369E"/>
    <w:rsid w:val="00875FC8"/>
    <w:rsid w:val="008C096C"/>
    <w:rsid w:val="008E6C1F"/>
    <w:rsid w:val="00921B13"/>
    <w:rsid w:val="00935FF0"/>
    <w:rsid w:val="00946073"/>
    <w:rsid w:val="009A30E7"/>
    <w:rsid w:val="009D6A70"/>
    <w:rsid w:val="009E62B3"/>
    <w:rsid w:val="00A02D58"/>
    <w:rsid w:val="00A2778E"/>
    <w:rsid w:val="00A355EA"/>
    <w:rsid w:val="00A468F9"/>
    <w:rsid w:val="00AE3CD6"/>
    <w:rsid w:val="00B327A1"/>
    <w:rsid w:val="00B76E37"/>
    <w:rsid w:val="00B80087"/>
    <w:rsid w:val="00C32109"/>
    <w:rsid w:val="00C50F32"/>
    <w:rsid w:val="00CE30EE"/>
    <w:rsid w:val="00D12D6F"/>
    <w:rsid w:val="00D14E22"/>
    <w:rsid w:val="00D21DFA"/>
    <w:rsid w:val="00DD6CAD"/>
    <w:rsid w:val="00E175A6"/>
    <w:rsid w:val="00E82659"/>
    <w:rsid w:val="00E87D3A"/>
    <w:rsid w:val="00E90A29"/>
    <w:rsid w:val="00E92E39"/>
    <w:rsid w:val="00EE2A77"/>
    <w:rsid w:val="00F3393B"/>
    <w:rsid w:val="00F668D0"/>
    <w:rsid w:val="00F86DC5"/>
    <w:rsid w:val="00FB2FA3"/>
    <w:rsid w:val="00FF370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44"/>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3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D21DFA"/>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D21DFA"/>
    <w:rPr>
      <w:rFonts w:ascii="Tahoma" w:hAnsi="Tahoma" w:cs="Tahoma"/>
      <w:sz w:val="16"/>
      <w:szCs w:val="16"/>
    </w:rPr>
  </w:style>
  <w:style w:type="paragraph" w:styleId="PargrafodaLista">
    <w:name w:val="List Paragraph"/>
    <w:basedOn w:val="Normal"/>
    <w:uiPriority w:val="34"/>
    <w:qFormat/>
    <w:rsid w:val="00D21DFA"/>
    <w:pPr>
      <w:ind w:left="720"/>
      <w:contextualSpacing/>
    </w:pPr>
  </w:style>
  <w:style w:type="paragraph" w:styleId="Cabealho">
    <w:name w:val="header"/>
    <w:basedOn w:val="Normal"/>
    <w:link w:val="CabealhoCarcter"/>
    <w:uiPriority w:val="99"/>
    <w:unhideWhenUsed/>
    <w:rsid w:val="00875FC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FC8"/>
  </w:style>
  <w:style w:type="paragraph" w:styleId="Rodap">
    <w:name w:val="footer"/>
    <w:basedOn w:val="Normal"/>
    <w:link w:val="RodapCarcter"/>
    <w:uiPriority w:val="99"/>
    <w:unhideWhenUsed/>
    <w:rsid w:val="00875FC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FC8"/>
  </w:style>
  <w:style w:type="character" w:styleId="Hiperligao">
    <w:name w:val="Hyperlink"/>
    <w:uiPriority w:val="99"/>
    <w:unhideWhenUsed/>
    <w:rsid w:val="00D12D6F"/>
    <w:rPr>
      <w:color w:val="0000FF"/>
      <w:u w:val="single"/>
    </w:rPr>
  </w:style>
  <w:style w:type="paragraph" w:customStyle="1" w:styleId="Pa1">
    <w:name w:val="Pa1"/>
    <w:basedOn w:val="Normal"/>
    <w:next w:val="Normal"/>
    <w:uiPriority w:val="99"/>
    <w:rsid w:val="00D12D6F"/>
    <w:pPr>
      <w:autoSpaceDE w:val="0"/>
      <w:autoSpaceDN w:val="0"/>
      <w:adjustRightInd w:val="0"/>
      <w:spacing w:after="0" w:line="201" w:lineRule="atLeast"/>
    </w:pPr>
    <w:rPr>
      <w:rFonts w:ascii="Arial" w:hAnsi="Arial" w:cs="Arial"/>
      <w:sz w:val="24"/>
      <w:szCs w:val="24"/>
      <w:lang w:eastAsia="pt-PT"/>
    </w:rPr>
  </w:style>
  <w:style w:type="character" w:customStyle="1" w:styleId="A4">
    <w:name w:val="A4"/>
    <w:uiPriority w:val="99"/>
    <w:rsid w:val="00D12D6F"/>
    <w:rPr>
      <w:color w:val="000000"/>
      <w:sz w:val="20"/>
      <w:szCs w:val="20"/>
      <w:u w:val="single"/>
    </w:rPr>
  </w:style>
  <w:style w:type="character" w:customStyle="1" w:styleId="A5">
    <w:name w:val="A5"/>
    <w:uiPriority w:val="99"/>
    <w:rsid w:val="00D12D6F"/>
    <w:rPr>
      <w:color w:val="000000"/>
      <w:sz w:val="15"/>
      <w:szCs w:val="15"/>
    </w:rPr>
  </w:style>
  <w:style w:type="paragraph" w:customStyle="1" w:styleId="Pa5">
    <w:name w:val="Pa5"/>
    <w:basedOn w:val="Normal"/>
    <w:next w:val="Normal"/>
    <w:uiPriority w:val="99"/>
    <w:rsid w:val="00D12D6F"/>
    <w:pPr>
      <w:autoSpaceDE w:val="0"/>
      <w:autoSpaceDN w:val="0"/>
      <w:adjustRightInd w:val="0"/>
      <w:spacing w:after="0" w:line="201" w:lineRule="atLeast"/>
    </w:pPr>
    <w:rPr>
      <w:rFonts w:ascii="Arial" w:hAnsi="Arial" w:cs="Arial"/>
      <w:sz w:val="24"/>
      <w:szCs w:val="24"/>
      <w:lang w:eastAsia="pt-PT"/>
    </w:rPr>
  </w:style>
  <w:style w:type="paragraph" w:customStyle="1" w:styleId="Contedodatabela">
    <w:name w:val="Conteúdo da tabela"/>
    <w:basedOn w:val="Normal"/>
    <w:rsid w:val="00D12D6F"/>
    <w:pPr>
      <w:suppressLineNumbers/>
      <w:suppressAutoHyphens/>
      <w:spacing w:after="0" w:line="240" w:lineRule="auto"/>
    </w:pPr>
    <w:rPr>
      <w:rFonts w:ascii="Times New Roman" w:eastAsia="Times New Roman" w:hAnsi="Times New Roman"/>
      <w:sz w:val="24"/>
      <w:szCs w:val="24"/>
      <w:lang w:eastAsia="ar-SA"/>
    </w:rPr>
  </w:style>
  <w:style w:type="paragraph" w:customStyle="1" w:styleId="Pa10">
    <w:name w:val="Pa10"/>
    <w:basedOn w:val="Normal"/>
    <w:next w:val="Normal"/>
    <w:uiPriority w:val="99"/>
    <w:rsid w:val="00D12D6F"/>
    <w:pPr>
      <w:autoSpaceDE w:val="0"/>
      <w:autoSpaceDN w:val="0"/>
      <w:adjustRightInd w:val="0"/>
      <w:spacing w:after="0" w:line="241" w:lineRule="atLeast"/>
    </w:pPr>
    <w:rPr>
      <w:rFonts w:ascii="Arial" w:hAnsi="Arial" w:cs="Arial"/>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e.mec.pt/aprendizagens-essenciais-ensino-secundar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ge.mec.pt/quadro-europeu-comum-de-referencia-para-lingu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Links>
    <vt:vector size="12" baseType="variant">
      <vt:variant>
        <vt:i4>1704018</vt:i4>
      </vt:variant>
      <vt:variant>
        <vt:i4>3</vt:i4>
      </vt:variant>
      <vt:variant>
        <vt:i4>0</vt:i4>
      </vt:variant>
      <vt:variant>
        <vt:i4>5</vt:i4>
      </vt:variant>
      <vt:variant>
        <vt:lpwstr>http://www.dge.mec.pt/quadro-europeu-comum-de-referencia-para-linguas</vt:lpwstr>
      </vt:variant>
      <vt:variant>
        <vt:lpwstr/>
      </vt:variant>
      <vt:variant>
        <vt:i4>983054</vt:i4>
      </vt:variant>
      <vt:variant>
        <vt:i4>0</vt:i4>
      </vt:variant>
      <vt:variant>
        <vt:i4>0</vt:i4>
      </vt:variant>
      <vt:variant>
        <vt:i4>5</vt:i4>
      </vt:variant>
      <vt:variant>
        <vt:lpwstr>http://www.dge.mec.pt/aprendizagens-essenciais-ensino-secundario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Barcoso</cp:lastModifiedBy>
  <cp:revision>3</cp:revision>
  <dcterms:created xsi:type="dcterms:W3CDTF">2023-05-15T12:51:00Z</dcterms:created>
  <dcterms:modified xsi:type="dcterms:W3CDTF">2023-05-16T09:05:00Z</dcterms:modified>
</cp:coreProperties>
</file>