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elha"/>
        <w:tblW w:w="0" w:type="auto"/>
        <w:jc w:val="center"/>
        <w:tblBorders>
          <w:top w:val="none" w:sz="0" w:space="0" w:color="auto"/>
          <w:left w:val="none" w:sz="0" w:space="0" w:color="auto"/>
          <w:bottom w:val="none" w:sz="0" w:space="0" w:color="auto"/>
          <w:right w:val="none" w:sz="0" w:space="0" w:color="auto"/>
          <w:insideV w:val="none" w:sz="0" w:space="0" w:color="auto"/>
        </w:tblBorders>
        <w:tblLayout w:type="fixed"/>
        <w:tblLook w:val="0000"/>
      </w:tblPr>
      <w:tblGrid>
        <w:gridCol w:w="6413"/>
        <w:gridCol w:w="3334"/>
      </w:tblGrid>
      <w:tr w:rsidR="00D06FCD">
        <w:trPr>
          <w:trHeight w:val="1075"/>
          <w:jc w:val="center"/>
        </w:trPr>
        <w:tc>
          <w:tcPr>
            <w:tcW w:w="6413" w:type="dxa"/>
            <w:vAlign w:val="center"/>
          </w:tcPr>
          <w:p w:rsidR="00D06FCD" w:rsidRDefault="00292915">
            <w:pPr>
              <w:spacing w:after="0" w:line="240" w:lineRule="auto"/>
              <w:rPr>
                <w:rFonts w:ascii="Times New Roman" w:hAnsi="Times New Roman"/>
              </w:rPr>
            </w:pPr>
            <w:r>
              <w:rPr>
                <w:noProof/>
              </w:rPr>
              <w:drawing>
                <wp:anchor distT="0" distB="0" distL="114300" distR="114300" simplePos="0" relativeHeight="251658240" behindDoc="1" locked="0" layoutInCell="1" allowOverlap="1">
                  <wp:simplePos x="0" y="0"/>
                  <wp:positionH relativeFrom="column">
                    <wp:posOffset>2211070</wp:posOffset>
                  </wp:positionH>
                  <wp:positionV relativeFrom="paragraph">
                    <wp:posOffset>255270</wp:posOffset>
                  </wp:positionV>
                  <wp:extent cx="1795145" cy="608330"/>
                  <wp:effectExtent l="0" t="0" r="0" b="0"/>
                  <wp:wrapTight wrapText="bothSides">
                    <wp:wrapPolygon edited="0">
                      <wp:start x="1834" y="4735"/>
                      <wp:lineTo x="688" y="11499"/>
                      <wp:lineTo x="1375" y="16234"/>
                      <wp:lineTo x="15816" y="16234"/>
                      <wp:lineTo x="15816" y="15557"/>
                      <wp:lineTo x="20630" y="10823"/>
                      <wp:lineTo x="20630" y="9470"/>
                      <wp:lineTo x="15816" y="4735"/>
                      <wp:lineTo x="1834" y="4735"/>
                    </wp:wrapPolygon>
                  </wp:wrapTight>
                  <wp:docPr id="3" name="Imagem 3" descr="novo logo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o logo ME"/>
                          <pic:cNvPicPr>
                            <a:picLocks noChangeAspect="1" noChangeArrowheads="1"/>
                          </pic:cNvPicPr>
                        </pic:nvPicPr>
                        <pic:blipFill>
                          <a:blip r:embed="rId7"/>
                          <a:srcRect/>
                          <a:stretch>
                            <a:fillRect/>
                          </a:stretch>
                        </pic:blipFill>
                        <pic:spPr bwMode="auto">
                          <a:xfrm>
                            <a:off x="0" y="0"/>
                            <a:ext cx="1795145" cy="608330"/>
                          </a:xfrm>
                          <a:prstGeom prst="rect">
                            <a:avLst/>
                          </a:prstGeom>
                          <a:noFill/>
                          <a:ln w="9525" cmpd="sng">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-137160</wp:posOffset>
                  </wp:positionH>
                  <wp:positionV relativeFrom="paragraph">
                    <wp:posOffset>379095</wp:posOffset>
                  </wp:positionV>
                  <wp:extent cx="2346960" cy="359410"/>
                  <wp:effectExtent l="19050" t="0" r="0" b="0"/>
                  <wp:wrapTight wrapText="bothSides">
                    <wp:wrapPolygon edited="0">
                      <wp:start x="-175" y="0"/>
                      <wp:lineTo x="-175" y="20608"/>
                      <wp:lineTo x="21565" y="20608"/>
                      <wp:lineTo x="21565" y="0"/>
                      <wp:lineTo x="-175" y="0"/>
                    </wp:wrapPolygon>
                  </wp:wrapTight>
                  <wp:docPr id="2" name="Imagem 4" descr="C:\Users\professor.JM\Downloads\Horizontal_Entrega_letter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professor.JM\Downloads\Horizontal_Entrega_lettering-01.jpg"/>
                          <pic:cNvPicPr>
                            <a:picLocks noChangeAspect="1" noChangeArrowheads="1"/>
                          </pic:cNvPicPr>
                        </pic:nvPicPr>
                        <pic:blipFill>
                          <a:blip r:embed="rId8"/>
                          <a:srcRect/>
                          <a:stretch>
                            <a:fillRect/>
                          </a:stretch>
                        </pic:blipFill>
                        <pic:spPr bwMode="auto">
                          <a:xfrm>
                            <a:off x="0" y="0"/>
                            <a:ext cx="2346960" cy="359410"/>
                          </a:xfrm>
                          <a:prstGeom prst="rect">
                            <a:avLst/>
                          </a:prstGeom>
                          <a:noFill/>
                          <a:ln w="9525" cmpd="sng">
                            <a:noFill/>
                            <a:miter lim="800000"/>
                            <a:headEnd/>
                            <a:tailEnd/>
                          </a:ln>
                        </pic:spPr>
                      </pic:pic>
                    </a:graphicData>
                  </a:graphic>
                </wp:anchor>
              </w:drawing>
            </w:r>
          </w:p>
        </w:tc>
        <w:tc>
          <w:tcPr>
            <w:tcW w:w="3334" w:type="dxa"/>
            <w:tcBorders>
              <w:top w:val="single" w:sz="4" w:space="0" w:color="auto"/>
              <w:bottom w:val="single" w:sz="4" w:space="0" w:color="auto"/>
            </w:tcBorders>
            <w:vAlign w:val="center"/>
          </w:tcPr>
          <w:p w:rsidR="00D06FCD" w:rsidRDefault="00FE64F8">
            <w:pPr>
              <w:spacing w:after="0" w:line="240" w:lineRule="auto"/>
              <w:jc w:val="center"/>
              <w:rPr>
                <w:rFonts w:ascii="Times New Roman" w:hAnsi="Times New Roman"/>
                <w:b/>
                <w:sz w:val="24"/>
                <w:szCs w:val="24"/>
              </w:rPr>
            </w:pPr>
            <w:r>
              <w:rPr>
                <w:rFonts w:ascii="Times New Roman" w:hAnsi="Times New Roman"/>
                <w:b/>
                <w:sz w:val="24"/>
                <w:szCs w:val="24"/>
              </w:rPr>
              <w:t>Ano Letivo 2022/2023</w:t>
            </w:r>
          </w:p>
        </w:tc>
      </w:tr>
    </w:tbl>
    <w:p w:rsidR="00D06FCD" w:rsidRDefault="00D06FCD">
      <w:pPr>
        <w:spacing w:line="240" w:lineRule="auto"/>
        <w:rPr>
          <w:rFonts w:ascii="Times New Roman" w:hAnsi="Times New Roman"/>
        </w:rPr>
      </w:pP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2802"/>
        <w:gridCol w:w="6945"/>
      </w:tblGrid>
      <w:tr w:rsidR="00D06FCD">
        <w:trPr>
          <w:trHeight w:val="952"/>
          <w:jc w:val="center"/>
        </w:trPr>
        <w:tc>
          <w:tcPr>
            <w:tcW w:w="9747" w:type="dxa"/>
            <w:gridSpan w:val="2"/>
            <w:tcBorders>
              <w:top w:val="single" w:sz="4" w:space="0" w:color="auto"/>
              <w:bottom w:val="single" w:sz="4" w:space="0" w:color="auto"/>
            </w:tcBorders>
            <w:vAlign w:val="center"/>
          </w:tcPr>
          <w:p w:rsidR="00D06FCD" w:rsidRDefault="00FE64F8">
            <w:pPr>
              <w:spacing w:after="0"/>
              <w:ind w:firstLine="175"/>
              <w:jc w:val="center"/>
              <w:rPr>
                <w:rFonts w:ascii="Times New Roman" w:hAnsi="Times New Roman"/>
                <w:b/>
                <w:sz w:val="30"/>
                <w:szCs w:val="30"/>
              </w:rPr>
            </w:pPr>
            <w:r>
              <w:rPr>
                <w:rFonts w:ascii="Times New Roman" w:hAnsi="Times New Roman"/>
                <w:b/>
                <w:sz w:val="30"/>
                <w:szCs w:val="30"/>
              </w:rPr>
              <w:t xml:space="preserve">INFORMAÇÃO-PROVA DE EQUIVALÊNCIA À FREQUÊNCIA </w:t>
            </w:r>
          </w:p>
          <w:p w:rsidR="00D06FCD" w:rsidRDefault="00D06FCD">
            <w:pPr>
              <w:autoSpaceDE w:val="0"/>
              <w:autoSpaceDN w:val="0"/>
              <w:adjustRightInd w:val="0"/>
              <w:spacing w:after="0" w:line="240" w:lineRule="auto"/>
              <w:jc w:val="center"/>
              <w:rPr>
                <w:rFonts w:ascii="Times New Roman" w:hAnsi="Times New Roman"/>
                <w:bCs/>
                <w:i/>
                <w:sz w:val="20"/>
                <w:szCs w:val="20"/>
              </w:rPr>
            </w:pPr>
          </w:p>
        </w:tc>
      </w:tr>
      <w:tr w:rsidR="00D06FCD">
        <w:trPr>
          <w:trHeight w:val="680"/>
          <w:jc w:val="center"/>
        </w:trPr>
        <w:tc>
          <w:tcPr>
            <w:tcW w:w="2802" w:type="dxa"/>
            <w:tcBorders>
              <w:top w:val="single" w:sz="4" w:space="0" w:color="auto"/>
            </w:tcBorders>
            <w:vAlign w:val="center"/>
          </w:tcPr>
          <w:p w:rsidR="00D06FCD" w:rsidRDefault="00FE64F8">
            <w:pPr>
              <w:spacing w:after="0" w:line="240" w:lineRule="auto"/>
              <w:jc w:val="right"/>
              <w:rPr>
                <w:rFonts w:ascii="Arial" w:hAnsi="Arial"/>
                <w:b/>
              </w:rPr>
            </w:pPr>
            <w:r>
              <w:rPr>
                <w:rFonts w:ascii="Arial" w:hAnsi="Arial"/>
                <w:b/>
              </w:rPr>
              <w:t>Disciplina:</w:t>
            </w:r>
          </w:p>
        </w:tc>
        <w:tc>
          <w:tcPr>
            <w:tcW w:w="6945" w:type="dxa"/>
            <w:tcBorders>
              <w:top w:val="single" w:sz="4" w:space="0" w:color="auto"/>
            </w:tcBorders>
            <w:vAlign w:val="center"/>
          </w:tcPr>
          <w:p w:rsidR="00D06FCD" w:rsidRDefault="00FE64F8">
            <w:pPr>
              <w:spacing w:after="0" w:line="240" w:lineRule="auto"/>
              <w:ind w:firstLine="175"/>
              <w:jc w:val="both"/>
              <w:rPr>
                <w:rFonts w:ascii="Arial" w:hAnsi="Arial"/>
                <w:b/>
              </w:rPr>
            </w:pPr>
            <w:r>
              <w:rPr>
                <w:rFonts w:ascii="Arial" w:hAnsi="Arial"/>
                <w:b/>
              </w:rPr>
              <w:t>Francês - Escrita 90’ + Oral 25’</w:t>
            </w:r>
          </w:p>
        </w:tc>
      </w:tr>
      <w:tr w:rsidR="00D06FCD">
        <w:trPr>
          <w:trHeight w:val="680"/>
          <w:jc w:val="center"/>
        </w:trPr>
        <w:tc>
          <w:tcPr>
            <w:tcW w:w="2802" w:type="dxa"/>
            <w:vAlign w:val="center"/>
          </w:tcPr>
          <w:p w:rsidR="00D06FCD" w:rsidRDefault="00FE64F8">
            <w:pPr>
              <w:spacing w:after="0" w:line="240" w:lineRule="auto"/>
              <w:jc w:val="right"/>
              <w:rPr>
                <w:rFonts w:ascii="Arial" w:hAnsi="Arial"/>
                <w:b/>
              </w:rPr>
            </w:pPr>
            <w:r>
              <w:rPr>
                <w:rFonts w:ascii="Arial" w:hAnsi="Arial"/>
                <w:b/>
              </w:rPr>
              <w:t>Prova/Código:</w:t>
            </w:r>
          </w:p>
        </w:tc>
        <w:tc>
          <w:tcPr>
            <w:tcW w:w="6945" w:type="dxa"/>
            <w:vAlign w:val="center"/>
          </w:tcPr>
          <w:p w:rsidR="00D06FCD" w:rsidRDefault="00FE64F8">
            <w:pPr>
              <w:spacing w:after="0" w:line="240" w:lineRule="auto"/>
              <w:ind w:firstLine="175"/>
              <w:jc w:val="both"/>
              <w:rPr>
                <w:rFonts w:ascii="Arial" w:hAnsi="Arial"/>
                <w:b/>
              </w:rPr>
            </w:pPr>
            <w:r>
              <w:rPr>
                <w:rFonts w:ascii="Arial" w:hAnsi="Arial"/>
                <w:b/>
              </w:rPr>
              <w:t>365</w:t>
            </w:r>
          </w:p>
        </w:tc>
      </w:tr>
      <w:tr w:rsidR="00D06FCD">
        <w:trPr>
          <w:trHeight w:val="680"/>
          <w:jc w:val="center"/>
        </w:trPr>
        <w:tc>
          <w:tcPr>
            <w:tcW w:w="2802" w:type="dxa"/>
            <w:tcBorders>
              <w:bottom w:val="single" w:sz="4" w:space="0" w:color="auto"/>
            </w:tcBorders>
            <w:vAlign w:val="center"/>
          </w:tcPr>
          <w:p w:rsidR="00D06FCD" w:rsidRDefault="00FE64F8">
            <w:pPr>
              <w:spacing w:after="0" w:line="240" w:lineRule="auto"/>
              <w:jc w:val="right"/>
              <w:rPr>
                <w:rFonts w:ascii="Arial" w:hAnsi="Arial"/>
                <w:b/>
              </w:rPr>
            </w:pPr>
            <w:r>
              <w:rPr>
                <w:rFonts w:ascii="Arial" w:hAnsi="Arial"/>
                <w:b/>
              </w:rPr>
              <w:t>Ano(s) de Escolaridade:</w:t>
            </w:r>
          </w:p>
        </w:tc>
        <w:tc>
          <w:tcPr>
            <w:tcW w:w="6945" w:type="dxa"/>
            <w:tcBorders>
              <w:bottom w:val="single" w:sz="4" w:space="0" w:color="auto"/>
            </w:tcBorders>
            <w:vAlign w:val="center"/>
          </w:tcPr>
          <w:p w:rsidR="00D06FCD" w:rsidRDefault="00FE64F8">
            <w:pPr>
              <w:spacing w:after="0" w:line="240" w:lineRule="auto"/>
              <w:ind w:firstLine="175"/>
              <w:jc w:val="both"/>
              <w:rPr>
                <w:rFonts w:ascii="Arial" w:hAnsi="Arial"/>
                <w:b/>
              </w:rPr>
            </w:pPr>
            <w:r>
              <w:rPr>
                <w:rFonts w:ascii="Arial" w:hAnsi="Arial"/>
                <w:b/>
              </w:rPr>
              <w:t>Secundário - 10º /11.º</w:t>
            </w:r>
          </w:p>
        </w:tc>
      </w:tr>
    </w:tbl>
    <w:p w:rsidR="00D06FCD" w:rsidRDefault="00D06FCD">
      <w:pPr>
        <w:pStyle w:val="PargrafodaLista"/>
        <w:ind w:left="644"/>
        <w:rPr>
          <w:rFonts w:ascii="Arial" w:hAnsi="Arial"/>
          <w:b/>
          <w:sz w:val="28"/>
          <w:szCs w:val="28"/>
        </w:rPr>
      </w:pPr>
    </w:p>
    <w:p w:rsidR="00D06FCD" w:rsidRDefault="00FE64F8">
      <w:pPr>
        <w:pStyle w:val="PargrafodaLista"/>
        <w:numPr>
          <w:ilvl w:val="0"/>
          <w:numId w:val="1"/>
        </w:numPr>
        <w:spacing w:line="360" w:lineRule="auto"/>
        <w:rPr>
          <w:rFonts w:ascii="Arial" w:hAnsi="Arial"/>
          <w:b/>
        </w:rPr>
      </w:pPr>
      <w:r>
        <w:rPr>
          <w:rFonts w:ascii="Arial" w:hAnsi="Arial"/>
          <w:b/>
        </w:rPr>
        <w:t>Introdução</w:t>
      </w:r>
    </w:p>
    <w:p w:rsidR="00D06FCD" w:rsidRDefault="00FE64F8">
      <w:pPr>
        <w:autoSpaceDE w:val="0"/>
        <w:autoSpaceDN w:val="0"/>
        <w:adjustRightInd w:val="0"/>
        <w:spacing w:after="0" w:line="360" w:lineRule="auto"/>
        <w:ind w:firstLine="708"/>
        <w:jc w:val="both"/>
        <w:rPr>
          <w:rFonts w:ascii="Arial" w:hAnsi="Arial"/>
          <w:b/>
          <w:bCs/>
        </w:rPr>
      </w:pPr>
      <w:r>
        <w:rPr>
          <w:rFonts w:ascii="Arial" w:hAnsi="Arial"/>
          <w:b/>
          <w:bCs/>
        </w:rPr>
        <w:t>Prova escrita e oral</w:t>
      </w:r>
    </w:p>
    <w:p w:rsidR="00D06FCD" w:rsidRDefault="00FE64F8">
      <w:pPr>
        <w:autoSpaceDE w:val="0"/>
        <w:autoSpaceDN w:val="0"/>
        <w:adjustRightInd w:val="0"/>
        <w:spacing w:after="0" w:line="360" w:lineRule="auto"/>
        <w:ind w:firstLine="708"/>
        <w:jc w:val="both"/>
        <w:rPr>
          <w:rFonts w:ascii="Arial" w:hAnsi="Arial"/>
        </w:rPr>
      </w:pPr>
      <w:r>
        <w:rPr>
          <w:rFonts w:ascii="Arial" w:hAnsi="Arial"/>
        </w:rPr>
        <w:t>O presente documento visa divulgar as características das duas provas (auditiva/escrita e oral) de exame de Equivalência à Frequência do Ensino Secundário da disciplina de Francês (nível de continuação bienal), a realizar em 2023, pelos alunos que se encontram abrangidos pelos planos de estudo em vigor. As informações apresentadas neste documento não dispensam a consulta da legislação referida e do Programa da disciplina.</w:t>
      </w:r>
    </w:p>
    <w:p w:rsidR="00D06FCD" w:rsidRDefault="00FE64F8">
      <w:pPr>
        <w:autoSpaceDE w:val="0"/>
        <w:autoSpaceDN w:val="0"/>
        <w:adjustRightInd w:val="0"/>
        <w:spacing w:after="0" w:line="360" w:lineRule="auto"/>
        <w:ind w:firstLine="708"/>
        <w:jc w:val="both"/>
        <w:rPr>
          <w:rFonts w:ascii="Arial" w:hAnsi="Arial"/>
        </w:rPr>
      </w:pPr>
      <w:r>
        <w:rPr>
          <w:rFonts w:ascii="Arial" w:hAnsi="Arial"/>
        </w:rPr>
        <w:t>O presente documento dá a conhecer os seguintes aspetos relativos à prova:</w:t>
      </w:r>
    </w:p>
    <w:p w:rsidR="00D06FCD" w:rsidRDefault="00FE64F8">
      <w:pPr>
        <w:autoSpaceDE w:val="0"/>
        <w:autoSpaceDN w:val="0"/>
        <w:adjustRightInd w:val="0"/>
        <w:spacing w:after="0" w:line="360" w:lineRule="auto"/>
        <w:ind w:left="660"/>
        <w:rPr>
          <w:rFonts w:ascii="Arial" w:hAnsi="Arial"/>
          <w:b/>
          <w:bCs/>
        </w:rPr>
      </w:pPr>
      <w:r>
        <w:rPr>
          <w:rFonts w:ascii="Arial" w:eastAsia="SymbolMT" w:hAnsi="Arial"/>
          <w:b/>
          <w:bCs/>
        </w:rPr>
        <w:t>.</w:t>
      </w:r>
      <w:r>
        <w:rPr>
          <w:rFonts w:ascii="Arial" w:hAnsi="Arial"/>
          <w:b/>
          <w:bCs/>
        </w:rPr>
        <w:t>Objeto de avaliação;</w:t>
      </w:r>
    </w:p>
    <w:p w:rsidR="00D06FCD" w:rsidRDefault="00FE64F8">
      <w:pPr>
        <w:autoSpaceDE w:val="0"/>
        <w:autoSpaceDN w:val="0"/>
        <w:adjustRightInd w:val="0"/>
        <w:spacing w:after="0" w:line="360" w:lineRule="auto"/>
        <w:ind w:left="660"/>
        <w:rPr>
          <w:rFonts w:ascii="Arial" w:hAnsi="Arial"/>
          <w:b/>
          <w:bCs/>
        </w:rPr>
      </w:pPr>
      <w:r>
        <w:rPr>
          <w:rFonts w:ascii="Arial" w:eastAsia="SymbolMT" w:hAnsi="Arial"/>
          <w:b/>
          <w:bCs/>
        </w:rPr>
        <w:t>.</w:t>
      </w:r>
      <w:r>
        <w:rPr>
          <w:rFonts w:ascii="Arial" w:hAnsi="Arial"/>
          <w:b/>
          <w:bCs/>
        </w:rPr>
        <w:t>Características e estrutura da prova;</w:t>
      </w:r>
    </w:p>
    <w:p w:rsidR="00D06FCD" w:rsidRDefault="00FE64F8">
      <w:pPr>
        <w:autoSpaceDE w:val="0"/>
        <w:autoSpaceDN w:val="0"/>
        <w:adjustRightInd w:val="0"/>
        <w:spacing w:after="0" w:line="360" w:lineRule="auto"/>
        <w:ind w:left="660"/>
        <w:rPr>
          <w:rFonts w:ascii="Arial" w:hAnsi="Arial"/>
          <w:b/>
          <w:bCs/>
        </w:rPr>
      </w:pPr>
      <w:r>
        <w:rPr>
          <w:rFonts w:ascii="Arial" w:eastAsia="SymbolMT" w:hAnsi="Arial"/>
          <w:b/>
          <w:bCs/>
        </w:rPr>
        <w:t>.</w:t>
      </w:r>
      <w:r>
        <w:rPr>
          <w:rFonts w:ascii="Arial" w:hAnsi="Arial"/>
          <w:b/>
          <w:bCs/>
        </w:rPr>
        <w:t>Critérios gerais de classificação;</w:t>
      </w:r>
    </w:p>
    <w:p w:rsidR="00D06FCD" w:rsidRDefault="00FE64F8">
      <w:pPr>
        <w:autoSpaceDE w:val="0"/>
        <w:autoSpaceDN w:val="0"/>
        <w:adjustRightInd w:val="0"/>
        <w:spacing w:after="0" w:line="360" w:lineRule="auto"/>
        <w:ind w:left="660"/>
        <w:rPr>
          <w:rFonts w:ascii="Arial" w:hAnsi="Arial"/>
          <w:b/>
          <w:bCs/>
        </w:rPr>
      </w:pPr>
      <w:r>
        <w:rPr>
          <w:rFonts w:ascii="Arial" w:hAnsi="Arial"/>
          <w:b/>
          <w:bCs/>
        </w:rPr>
        <w:t>.Duração;</w:t>
      </w:r>
    </w:p>
    <w:p w:rsidR="00D06FCD" w:rsidRDefault="00FE64F8">
      <w:pPr>
        <w:autoSpaceDE w:val="0"/>
        <w:autoSpaceDN w:val="0"/>
        <w:adjustRightInd w:val="0"/>
        <w:spacing w:after="0" w:line="360" w:lineRule="auto"/>
        <w:ind w:left="660"/>
        <w:rPr>
          <w:rFonts w:ascii="Arial" w:hAnsi="Arial"/>
          <w:b/>
          <w:bCs/>
        </w:rPr>
      </w:pPr>
      <w:r>
        <w:rPr>
          <w:rFonts w:ascii="Arial" w:eastAsia="SymbolMT" w:hAnsi="Arial"/>
          <w:b/>
          <w:bCs/>
        </w:rPr>
        <w:t>.</w:t>
      </w:r>
      <w:r>
        <w:rPr>
          <w:rFonts w:ascii="Arial" w:hAnsi="Arial"/>
          <w:b/>
          <w:bCs/>
        </w:rPr>
        <w:t>Material autorizado.</w:t>
      </w:r>
    </w:p>
    <w:p w:rsidR="00D06FCD" w:rsidRDefault="00D06FCD">
      <w:pPr>
        <w:autoSpaceDE w:val="0"/>
        <w:autoSpaceDN w:val="0"/>
        <w:adjustRightInd w:val="0"/>
        <w:spacing w:after="0" w:line="360" w:lineRule="auto"/>
        <w:rPr>
          <w:rFonts w:ascii="Arial" w:hAnsi="Arial"/>
          <w:b/>
          <w:bCs/>
        </w:rPr>
      </w:pPr>
    </w:p>
    <w:p w:rsidR="00D06FCD" w:rsidRDefault="00FE64F8">
      <w:pPr>
        <w:pStyle w:val="PargrafodaLista"/>
        <w:numPr>
          <w:ilvl w:val="0"/>
          <w:numId w:val="1"/>
        </w:numPr>
        <w:spacing w:line="360" w:lineRule="auto"/>
        <w:rPr>
          <w:rFonts w:ascii="Arial" w:hAnsi="Arial"/>
          <w:b/>
        </w:rPr>
      </w:pPr>
      <w:r>
        <w:rPr>
          <w:rFonts w:ascii="Arial" w:hAnsi="Arial"/>
          <w:b/>
        </w:rPr>
        <w:t>Objeto de Avaliação</w:t>
      </w:r>
    </w:p>
    <w:p w:rsidR="00D06FCD" w:rsidRDefault="00FE64F8">
      <w:pPr>
        <w:autoSpaceDE w:val="0"/>
        <w:autoSpaceDN w:val="0"/>
        <w:adjustRightInd w:val="0"/>
        <w:spacing w:after="0" w:line="360" w:lineRule="auto"/>
        <w:ind w:firstLine="708"/>
        <w:jc w:val="both"/>
        <w:rPr>
          <w:rFonts w:ascii="Arial" w:hAnsi="Arial"/>
        </w:rPr>
      </w:pPr>
      <w:r>
        <w:rPr>
          <w:rFonts w:ascii="Arial" w:hAnsi="Arial"/>
        </w:rPr>
        <w:t>As duas provas têm por referência os documentos curriculares em vigor (programa da disciplina, Aprendizagens Essenciais e as orientações presentes no Quadro Europeu Comum de Referência para as Línguas – QECR).</w:t>
      </w:r>
    </w:p>
    <w:p w:rsidR="00D06FCD" w:rsidRDefault="00FE64F8">
      <w:pPr>
        <w:autoSpaceDE w:val="0"/>
        <w:autoSpaceDN w:val="0"/>
        <w:adjustRightInd w:val="0"/>
        <w:spacing w:after="0" w:line="360" w:lineRule="auto"/>
        <w:ind w:firstLine="708"/>
        <w:jc w:val="both"/>
        <w:rPr>
          <w:rFonts w:ascii="Arial" w:hAnsi="Arial"/>
        </w:rPr>
      </w:pPr>
      <w:r>
        <w:rPr>
          <w:rFonts w:ascii="Arial" w:hAnsi="Arial"/>
        </w:rPr>
        <w:t>As Aprendizagens Essenciais das disciplinas de línguas estrangeiras centram-se nas competências</w:t>
      </w:r>
    </w:p>
    <w:p w:rsidR="00D06FCD" w:rsidRDefault="00FE64F8">
      <w:pPr>
        <w:autoSpaceDE w:val="0"/>
        <w:autoSpaceDN w:val="0"/>
        <w:adjustRightInd w:val="0"/>
        <w:spacing w:after="0" w:line="360" w:lineRule="auto"/>
        <w:jc w:val="both"/>
        <w:rPr>
          <w:rFonts w:ascii="Arial" w:hAnsi="Arial"/>
        </w:rPr>
      </w:pPr>
      <w:r>
        <w:rPr>
          <w:rFonts w:ascii="Arial" w:hAnsi="Arial"/>
        </w:rPr>
        <w:t>comunicativa, intercultural e estratégica.</w:t>
      </w:r>
    </w:p>
    <w:p w:rsidR="00D06FCD" w:rsidRDefault="00FE64F8">
      <w:pPr>
        <w:autoSpaceDE w:val="0"/>
        <w:autoSpaceDN w:val="0"/>
        <w:adjustRightInd w:val="0"/>
        <w:spacing w:after="0" w:line="360" w:lineRule="auto"/>
        <w:ind w:firstLine="708"/>
        <w:jc w:val="both"/>
        <w:rPr>
          <w:rFonts w:ascii="Arial" w:hAnsi="Arial"/>
        </w:rPr>
      </w:pPr>
      <w:r>
        <w:rPr>
          <w:rFonts w:ascii="Arial" w:hAnsi="Arial"/>
        </w:rPr>
        <w:lastRenderedPageBreak/>
        <w:t>Enquadrado pelas orientações presentes no QECR, o Programa preconiza uma convergência de metodologias ativas assentes em atividades linguísticas, estratégias e tarefas reportadas a usos comunicativos da língua</w:t>
      </w:r>
      <w:r>
        <w:rPr>
          <w:rStyle w:val="Refdenotaderodap"/>
          <w:rFonts w:ascii="Arial" w:hAnsi="Arial"/>
        </w:rPr>
        <w:footnoteReference w:id="2"/>
      </w:r>
      <w:r>
        <w:rPr>
          <w:rFonts w:ascii="Arial" w:hAnsi="Arial"/>
        </w:rPr>
        <w:t xml:space="preserve">. </w:t>
      </w:r>
    </w:p>
    <w:p w:rsidR="00D06FCD" w:rsidRDefault="00FE64F8">
      <w:pPr>
        <w:autoSpaceDE w:val="0"/>
        <w:autoSpaceDN w:val="0"/>
        <w:adjustRightInd w:val="0"/>
        <w:spacing w:after="0" w:line="360" w:lineRule="auto"/>
        <w:ind w:firstLine="708"/>
        <w:jc w:val="both"/>
        <w:rPr>
          <w:rFonts w:ascii="Arial" w:hAnsi="Arial"/>
          <w:b/>
        </w:rPr>
      </w:pPr>
      <w:r>
        <w:rPr>
          <w:rFonts w:ascii="Arial" w:hAnsi="Arial"/>
        </w:rPr>
        <w:t>Nas provas são objeto de avaliação a compreensão do oral, o uso da língua, a leitura e a escrita, enquadrados nas competências linguística (nas vertentes lexical, gramatical, semântica e ortográfica), pragmática (nas vertentes discursiva, funcional e estratégica) e sociolinguística e produção oral. A demonstração destas competências envolve a mobilização dos conteúdos e estratégias definidos pelo programa de cada disciplina para os 10.º e 11.º anos, nomeadamente os das áreas de referência/dos domínios socioculturais.</w:t>
      </w:r>
    </w:p>
    <w:p w:rsidR="00D06FCD" w:rsidRDefault="00D06FCD">
      <w:pPr>
        <w:spacing w:line="360" w:lineRule="auto"/>
        <w:rPr>
          <w:rFonts w:ascii="Arial" w:hAnsi="Arial"/>
          <w:b/>
        </w:rPr>
      </w:pPr>
    </w:p>
    <w:p w:rsidR="00D06FCD" w:rsidRDefault="00FE64F8">
      <w:pPr>
        <w:pStyle w:val="PargrafodaLista"/>
        <w:numPr>
          <w:ilvl w:val="0"/>
          <w:numId w:val="1"/>
        </w:numPr>
        <w:spacing w:after="0" w:line="360" w:lineRule="auto"/>
        <w:rPr>
          <w:rFonts w:ascii="Arial" w:hAnsi="Arial"/>
          <w:b/>
        </w:rPr>
      </w:pPr>
      <w:r>
        <w:rPr>
          <w:rFonts w:ascii="Arial" w:hAnsi="Arial"/>
          <w:b/>
        </w:rPr>
        <w:t>Características e Estrutura das Provas</w:t>
      </w:r>
    </w:p>
    <w:p w:rsidR="00D06FCD" w:rsidRDefault="00FE64F8">
      <w:pPr>
        <w:spacing w:after="0" w:line="360" w:lineRule="auto"/>
        <w:ind w:firstLine="709"/>
        <w:jc w:val="both"/>
        <w:rPr>
          <w:rFonts w:ascii="Arial" w:hAnsi="Arial"/>
        </w:rPr>
      </w:pPr>
      <w:r>
        <w:rPr>
          <w:rFonts w:ascii="Arial" w:hAnsi="Arial"/>
        </w:rPr>
        <w:t>A prova é realizada em dois momentos distintos. Num momento, são avaliados a compreensão do oral, o uso da língua, a leitura e a interpretação e produções escritas (componente escrita das provas); no outro, avalia-se a interação e produção oral (componente oral das provas). Os itens têm como suporte estímulos orais, escritos e produção orais.</w:t>
      </w:r>
    </w:p>
    <w:p w:rsidR="00D06FCD" w:rsidRDefault="00FE64F8">
      <w:pPr>
        <w:spacing w:after="0" w:line="360" w:lineRule="auto"/>
        <w:jc w:val="both"/>
        <w:rPr>
          <w:rFonts w:ascii="Arial" w:hAnsi="Arial"/>
        </w:rPr>
      </w:pPr>
      <w:r>
        <w:rPr>
          <w:rFonts w:ascii="Arial" w:hAnsi="Arial"/>
        </w:rPr>
        <w:t xml:space="preserve">          A sequência dos itens na prova pode não corresponder à sequência das unidades temáticas no Programa e nas Orientações para efeitos de avaliação sumativa externa das aprendizagens na disciplina de Francês.</w:t>
      </w:r>
    </w:p>
    <w:p w:rsidR="00D06FCD" w:rsidRDefault="00FE64F8">
      <w:pPr>
        <w:spacing w:line="360" w:lineRule="auto"/>
        <w:ind w:left="709"/>
        <w:jc w:val="both"/>
        <w:rPr>
          <w:rFonts w:ascii="Arial" w:hAnsi="Arial"/>
        </w:rPr>
      </w:pPr>
      <w:r>
        <w:rPr>
          <w:rFonts w:ascii="Arial" w:hAnsi="Arial"/>
        </w:rPr>
        <w:t>No item de construção pode ser estabelecido um limite de palavras.</w:t>
      </w:r>
    </w:p>
    <w:p w:rsidR="00D06FCD" w:rsidRDefault="00FE64F8">
      <w:pPr>
        <w:spacing w:line="360" w:lineRule="auto"/>
        <w:jc w:val="both"/>
        <w:rPr>
          <w:rFonts w:ascii="Arial" w:hAnsi="Arial"/>
          <w:b/>
        </w:rPr>
      </w:pPr>
      <w:r>
        <w:rPr>
          <w:rFonts w:ascii="Arial" w:hAnsi="Arial"/>
          <w:b/>
          <w:u w:val="single"/>
        </w:rPr>
        <w:t>Domínios de referência</w:t>
      </w:r>
      <w:r>
        <w:rPr>
          <w:rStyle w:val="Refdenotaderodap"/>
          <w:rFonts w:ascii="Arial" w:hAnsi="Arial"/>
          <w:b/>
        </w:rPr>
        <w:footnoteReference w:id="3"/>
      </w:r>
    </w:p>
    <w:p w:rsidR="00D06FCD" w:rsidRDefault="00FE64F8">
      <w:pPr>
        <w:spacing w:line="360" w:lineRule="auto"/>
        <w:rPr>
          <w:rFonts w:ascii="Arial" w:hAnsi="Arial" w:cs="Arial"/>
        </w:rPr>
      </w:pPr>
      <w:r>
        <w:rPr>
          <w:rFonts w:ascii="Arial" w:eastAsia="TrebuchetMS-Bold" w:hAnsi="Arial" w:cs="Arial"/>
          <w:b/>
          <w:bCs/>
          <w:color w:val="000000"/>
          <w:lang w:eastAsia="zh-CN"/>
        </w:rPr>
        <w:t xml:space="preserve">I - </w:t>
      </w:r>
      <w:r>
        <w:rPr>
          <w:rFonts w:ascii="Arial" w:eastAsia="TrebuchetMS-Bold" w:hAnsi="Arial" w:cs="Arial"/>
          <w:b/>
          <w:bCs/>
          <w:color w:val="000000"/>
          <w:lang w:val="en-US" w:eastAsia="zh-CN"/>
        </w:rPr>
        <w:t xml:space="preserve">Groupes d’appartenance et de référence </w:t>
      </w:r>
    </w:p>
    <w:p w:rsidR="00D06FCD" w:rsidRDefault="00FE64F8">
      <w:pPr>
        <w:spacing w:line="360" w:lineRule="auto"/>
        <w:rPr>
          <w:rFonts w:ascii="Arial" w:hAnsi="Arial" w:cs="Arial"/>
          <w:color w:val="000000"/>
          <w:lang w:val="en-US" w:eastAsia="zh-CN"/>
        </w:rPr>
      </w:pPr>
      <w:r>
        <w:rPr>
          <w:rFonts w:ascii="Arial" w:hAnsi="Arial" w:cs="Arial"/>
          <w:color w:val="000000"/>
          <w:lang w:val="en-US" w:eastAsia="zh-CN"/>
        </w:rPr>
        <w:t xml:space="preserve">• Famille(s), groupe(s), lieux d’échange et d’entraide, apprentissages, cultures. </w:t>
      </w:r>
    </w:p>
    <w:p w:rsidR="00D06FCD" w:rsidRDefault="00FE64F8">
      <w:pPr>
        <w:spacing w:line="360" w:lineRule="auto"/>
        <w:rPr>
          <w:rFonts w:ascii="Arial" w:hAnsi="Arial" w:cs="Arial"/>
        </w:rPr>
      </w:pPr>
      <w:r>
        <w:rPr>
          <w:rFonts w:ascii="Arial" w:hAnsi="Arial" w:cs="Arial"/>
          <w:b/>
          <w:bCs/>
          <w:color w:val="000000"/>
          <w:lang w:eastAsia="zh-CN"/>
        </w:rPr>
        <w:t>II</w:t>
      </w:r>
      <w:r>
        <w:rPr>
          <w:rFonts w:ascii="Arial" w:hAnsi="Arial" w:cs="Arial"/>
          <w:color w:val="000000"/>
          <w:lang w:eastAsia="zh-CN"/>
        </w:rPr>
        <w:t xml:space="preserve"> </w:t>
      </w:r>
      <w:r>
        <w:rPr>
          <w:rFonts w:ascii="Arial" w:hAnsi="Arial" w:cs="Arial"/>
          <w:b/>
          <w:bCs/>
          <w:color w:val="000000"/>
          <w:lang w:eastAsia="zh-CN"/>
        </w:rPr>
        <w:t>-</w:t>
      </w:r>
      <w:r>
        <w:rPr>
          <w:rFonts w:ascii="Arial" w:hAnsi="Arial" w:cs="Arial"/>
          <w:color w:val="000000"/>
          <w:lang w:eastAsia="zh-CN"/>
        </w:rPr>
        <w:t xml:space="preserve"> </w:t>
      </w:r>
      <w:r>
        <w:rPr>
          <w:rFonts w:ascii="Arial" w:eastAsia="TrebuchetMS-Bold" w:hAnsi="Arial" w:cs="Arial"/>
          <w:b/>
          <w:bCs/>
          <w:color w:val="000000"/>
          <w:lang w:val="en-US" w:eastAsia="zh-CN"/>
        </w:rPr>
        <w:t xml:space="preserve">Expériences et parcours </w:t>
      </w:r>
    </w:p>
    <w:p w:rsidR="00D06FCD" w:rsidRDefault="00FE64F8">
      <w:pPr>
        <w:spacing w:line="360" w:lineRule="auto"/>
        <w:rPr>
          <w:rFonts w:ascii="Arial" w:hAnsi="Arial" w:cs="Arial"/>
        </w:rPr>
      </w:pPr>
      <w:r>
        <w:rPr>
          <w:rFonts w:ascii="Arial" w:hAnsi="Arial" w:cs="Arial"/>
          <w:color w:val="000000"/>
          <w:lang w:val="en-US" w:eastAsia="zh-CN"/>
        </w:rPr>
        <w:t xml:space="preserve">• Insertion sociale, marginalisation, monde du travail, nouveaux métiers, faits de société. </w:t>
      </w:r>
    </w:p>
    <w:p w:rsidR="00D06FCD" w:rsidRDefault="00FE64F8">
      <w:pPr>
        <w:spacing w:line="360" w:lineRule="auto"/>
        <w:rPr>
          <w:rFonts w:ascii="Arial" w:hAnsi="Arial" w:cs="Arial"/>
        </w:rPr>
      </w:pPr>
      <w:r>
        <w:rPr>
          <w:rFonts w:ascii="Arial" w:eastAsia="TrebuchetMS-Bold" w:hAnsi="Arial" w:cs="Arial"/>
          <w:b/>
          <w:bCs/>
          <w:color w:val="000000"/>
          <w:lang w:eastAsia="zh-CN"/>
        </w:rPr>
        <w:t xml:space="preserve">III - </w:t>
      </w:r>
      <w:r>
        <w:rPr>
          <w:rFonts w:ascii="Arial" w:eastAsia="TrebuchetMS-Bold" w:hAnsi="Arial" w:cs="Arial"/>
          <w:b/>
          <w:bCs/>
          <w:color w:val="000000"/>
          <w:lang w:val="en-US" w:eastAsia="zh-CN"/>
        </w:rPr>
        <w:t xml:space="preserve">Information et communication </w:t>
      </w:r>
    </w:p>
    <w:p w:rsidR="00D06FCD" w:rsidRDefault="00FE64F8">
      <w:pPr>
        <w:spacing w:line="360" w:lineRule="auto"/>
        <w:rPr>
          <w:rFonts w:ascii="Arial" w:hAnsi="Arial" w:cs="Arial"/>
        </w:rPr>
      </w:pPr>
      <w:r>
        <w:rPr>
          <w:rFonts w:ascii="Arial" w:hAnsi="Arial" w:cs="Arial"/>
          <w:color w:val="000000"/>
          <w:lang w:val="en-US" w:eastAsia="zh-CN"/>
        </w:rPr>
        <w:t xml:space="preserve">• Globalisation, séduction, manipulation, vie privée/droit à l’information. </w:t>
      </w:r>
    </w:p>
    <w:p w:rsidR="00D06FCD" w:rsidRDefault="00FE64F8">
      <w:pPr>
        <w:spacing w:line="360" w:lineRule="auto"/>
        <w:rPr>
          <w:rFonts w:ascii="Arial" w:hAnsi="Arial" w:cs="Arial"/>
        </w:rPr>
      </w:pPr>
      <w:r>
        <w:rPr>
          <w:rFonts w:ascii="Arial" w:eastAsia="TrebuchetMS-Bold" w:hAnsi="Arial" w:cs="Arial"/>
          <w:b/>
          <w:bCs/>
          <w:color w:val="000000"/>
          <w:lang w:eastAsia="zh-CN"/>
        </w:rPr>
        <w:t xml:space="preserve">IV - </w:t>
      </w:r>
      <w:r>
        <w:rPr>
          <w:rFonts w:ascii="Arial" w:eastAsia="TrebuchetMS-Bold" w:hAnsi="Arial" w:cs="Arial"/>
          <w:b/>
          <w:bCs/>
          <w:color w:val="000000"/>
          <w:lang w:val="en-US" w:eastAsia="zh-CN"/>
        </w:rPr>
        <w:t xml:space="preserve">Science, technologie et environnement </w:t>
      </w:r>
    </w:p>
    <w:p w:rsidR="00D06FCD" w:rsidRDefault="00FE64F8">
      <w:pPr>
        <w:spacing w:line="360" w:lineRule="auto"/>
        <w:rPr>
          <w:rFonts w:ascii="Arial" w:hAnsi="Arial" w:cs="Arial"/>
        </w:rPr>
      </w:pPr>
      <w:r>
        <w:rPr>
          <w:rFonts w:ascii="Arial" w:hAnsi="Arial" w:cs="Arial"/>
          <w:color w:val="000000"/>
          <w:lang w:val="en-US" w:eastAsia="zh-CN"/>
        </w:rPr>
        <w:t>• Recherche scientifique, applications, éthique, qualité de vie.</w:t>
      </w:r>
    </w:p>
    <w:p w:rsidR="00D06FCD" w:rsidRDefault="00D06FCD">
      <w:pPr>
        <w:pStyle w:val="PargrafodaLista"/>
        <w:spacing w:line="360" w:lineRule="auto"/>
        <w:ind w:left="644"/>
        <w:rPr>
          <w:rFonts w:ascii="Arial" w:hAnsi="Arial"/>
          <w:b/>
        </w:rPr>
      </w:pPr>
    </w:p>
    <w:p w:rsidR="00D06FCD" w:rsidRDefault="00FE64F8">
      <w:pPr>
        <w:pStyle w:val="PargrafodaLista"/>
        <w:spacing w:line="360" w:lineRule="auto"/>
        <w:ind w:left="0"/>
        <w:rPr>
          <w:rFonts w:ascii="Arial" w:hAnsi="Arial"/>
          <w:b/>
          <w:u w:val="single"/>
        </w:rPr>
      </w:pPr>
      <w:r>
        <w:rPr>
          <w:rFonts w:ascii="Arial" w:hAnsi="Arial"/>
          <w:b/>
          <w:u w:val="single"/>
        </w:rPr>
        <w:t>Prova auditiva/escrita</w:t>
      </w:r>
    </w:p>
    <w:p w:rsidR="00D06FCD" w:rsidRDefault="00FE64F8">
      <w:pPr>
        <w:spacing w:line="360" w:lineRule="auto"/>
        <w:ind w:firstLine="709"/>
        <w:jc w:val="both"/>
        <w:rPr>
          <w:rFonts w:ascii="Arial" w:hAnsi="Arial"/>
          <w:b/>
        </w:rPr>
      </w:pPr>
      <w:r>
        <w:rPr>
          <w:rFonts w:ascii="Arial" w:hAnsi="Arial"/>
        </w:rPr>
        <w:t>A prova é constituída por três grupos. Alguns itens têm como suporte um ou mais textos e, eventualmente, uma ou mais imagens.</w:t>
      </w:r>
    </w:p>
    <w:p w:rsidR="00D06FCD" w:rsidRDefault="00FE64F8">
      <w:pPr>
        <w:spacing w:line="360" w:lineRule="auto"/>
        <w:jc w:val="both"/>
        <w:rPr>
          <w:rFonts w:ascii="Arial" w:hAnsi="Arial"/>
          <w:b/>
        </w:rPr>
      </w:pPr>
      <w:r>
        <w:rPr>
          <w:rFonts w:ascii="Arial" w:hAnsi="Arial"/>
          <w:b/>
        </w:rPr>
        <w:t xml:space="preserve">Grupo I </w:t>
      </w:r>
    </w:p>
    <w:p w:rsidR="00D06FCD" w:rsidRDefault="00FE64F8">
      <w:pPr>
        <w:spacing w:line="360" w:lineRule="auto"/>
        <w:ind w:firstLine="709"/>
        <w:jc w:val="both"/>
        <w:rPr>
          <w:rFonts w:ascii="Arial" w:hAnsi="Arial"/>
        </w:rPr>
      </w:pPr>
      <w:r>
        <w:rPr>
          <w:rFonts w:ascii="Arial" w:hAnsi="Arial"/>
        </w:rPr>
        <w:t xml:space="preserve">Permite avaliar o desempenho do examinando na compreensão do oral, tendo como suporte dois ou três textos áudio. </w:t>
      </w:r>
    </w:p>
    <w:p w:rsidR="00D06FCD" w:rsidRDefault="00FE64F8">
      <w:pPr>
        <w:spacing w:line="360" w:lineRule="auto"/>
        <w:jc w:val="both"/>
        <w:rPr>
          <w:rFonts w:ascii="Arial" w:hAnsi="Arial"/>
          <w:b/>
        </w:rPr>
      </w:pPr>
      <w:r>
        <w:rPr>
          <w:rFonts w:ascii="Arial" w:hAnsi="Arial"/>
          <w:b/>
        </w:rPr>
        <w:t>Grupo II</w:t>
      </w:r>
    </w:p>
    <w:p w:rsidR="00D06FCD" w:rsidRDefault="00FE64F8">
      <w:pPr>
        <w:spacing w:line="360" w:lineRule="auto"/>
        <w:ind w:firstLine="709"/>
        <w:jc w:val="both"/>
        <w:rPr>
          <w:rFonts w:ascii="Arial" w:hAnsi="Arial"/>
          <w:b/>
        </w:rPr>
      </w:pPr>
      <w:r>
        <w:rPr>
          <w:rFonts w:ascii="Arial" w:hAnsi="Arial"/>
        </w:rPr>
        <w:t>Permite avaliar o desempenho do examinando no seu conhecimento do uso da língua e na leitura, implicando o recurso a diferentes estratégias de leitura global, seletiva e analítica. Os itens referentes à leitura podem ter um ou mais textos como suporte.</w:t>
      </w:r>
    </w:p>
    <w:p w:rsidR="00D06FCD" w:rsidRDefault="00FE64F8">
      <w:pPr>
        <w:spacing w:after="0" w:line="360" w:lineRule="auto"/>
        <w:jc w:val="both"/>
        <w:rPr>
          <w:rFonts w:ascii="Arial" w:hAnsi="Arial"/>
          <w:b/>
        </w:rPr>
      </w:pPr>
      <w:r>
        <w:rPr>
          <w:rFonts w:ascii="Arial" w:hAnsi="Arial"/>
          <w:b/>
        </w:rPr>
        <w:t xml:space="preserve">Grupo III </w:t>
      </w:r>
    </w:p>
    <w:p w:rsidR="00D06FCD" w:rsidRDefault="00FE64F8">
      <w:pPr>
        <w:spacing w:after="0" w:line="360" w:lineRule="auto"/>
        <w:ind w:firstLine="709"/>
        <w:jc w:val="both"/>
        <w:rPr>
          <w:rFonts w:ascii="Arial" w:hAnsi="Arial"/>
        </w:rPr>
      </w:pPr>
      <w:r>
        <w:rPr>
          <w:rFonts w:ascii="Arial" w:hAnsi="Arial"/>
        </w:rPr>
        <w:t>Permite avaliar o desempenho do examinando em atividades de interação e produção escritas.</w:t>
      </w:r>
    </w:p>
    <w:p w:rsidR="00D06FCD" w:rsidRDefault="00D06FCD">
      <w:pPr>
        <w:spacing w:after="0" w:line="360" w:lineRule="auto"/>
        <w:ind w:firstLine="709"/>
        <w:jc w:val="both"/>
        <w:rPr>
          <w:rFonts w:ascii="Arial" w:hAnsi="Arial"/>
        </w:rPr>
      </w:pPr>
    </w:p>
    <w:p w:rsidR="00D06FCD" w:rsidRDefault="00FE64F8">
      <w:pPr>
        <w:spacing w:after="0" w:line="360" w:lineRule="auto"/>
        <w:ind w:firstLine="709"/>
        <w:jc w:val="both"/>
        <w:rPr>
          <w:rFonts w:ascii="Arial" w:hAnsi="Arial"/>
        </w:rPr>
      </w:pPr>
      <w:r>
        <w:rPr>
          <w:rFonts w:ascii="Arial" w:hAnsi="Arial"/>
        </w:rPr>
        <w:t>A prova inclui itens de seleção (escolha múltipla, associação simples, associação múltipla, ordenação e completamento) e itens de construção (resposta curta, restrita e extensa).</w:t>
      </w:r>
    </w:p>
    <w:p w:rsidR="00D06FCD" w:rsidRDefault="00FE64F8">
      <w:pPr>
        <w:spacing w:after="0" w:line="360" w:lineRule="auto"/>
        <w:ind w:firstLine="709"/>
        <w:jc w:val="both"/>
        <w:rPr>
          <w:rFonts w:ascii="Arial" w:hAnsi="Arial"/>
        </w:rPr>
      </w:pPr>
      <w:r>
        <w:rPr>
          <w:rFonts w:ascii="Arial" w:hAnsi="Arial"/>
        </w:rPr>
        <w:t xml:space="preserve"> As provas são cotadas para 200 pontos. </w:t>
      </w:r>
    </w:p>
    <w:p w:rsidR="00D06FCD" w:rsidRDefault="00FE64F8">
      <w:pPr>
        <w:spacing w:after="0" w:line="360" w:lineRule="auto"/>
        <w:ind w:firstLine="709"/>
        <w:jc w:val="both"/>
        <w:rPr>
          <w:rFonts w:ascii="Arial" w:hAnsi="Arial"/>
        </w:rPr>
      </w:pPr>
      <w:r>
        <w:rPr>
          <w:rFonts w:ascii="Arial" w:hAnsi="Arial"/>
        </w:rPr>
        <w:t>A distribuição da cotação pelos grupos apresenta-se no Quadro que se segue:</w:t>
      </w:r>
    </w:p>
    <w:p w:rsidR="00D06FCD" w:rsidRDefault="00D06FCD">
      <w:pPr>
        <w:spacing w:after="0" w:line="360" w:lineRule="auto"/>
        <w:ind w:firstLine="709"/>
        <w:jc w:val="both"/>
        <w:rPr>
          <w:rFonts w:ascii="Arial" w:hAnsi="Arial"/>
          <w:b/>
        </w:rPr>
      </w:pPr>
    </w:p>
    <w:tbl>
      <w:tblPr>
        <w:tblStyle w:val="Tabelacomgrelha"/>
        <w:tblW w:w="0" w:type="auto"/>
        <w:jc w:val="center"/>
        <w:tblLayout w:type="fixed"/>
        <w:tblLook w:val="0000"/>
      </w:tblPr>
      <w:tblGrid>
        <w:gridCol w:w="2235"/>
        <w:gridCol w:w="2693"/>
        <w:gridCol w:w="2551"/>
      </w:tblGrid>
      <w:tr w:rsidR="00D06FCD">
        <w:trPr>
          <w:jc w:val="center"/>
        </w:trPr>
        <w:tc>
          <w:tcPr>
            <w:tcW w:w="2235" w:type="dxa"/>
            <w:vAlign w:val="center"/>
          </w:tcPr>
          <w:p w:rsidR="00D06FCD" w:rsidRDefault="00FE64F8">
            <w:pPr>
              <w:spacing w:after="0" w:line="360" w:lineRule="auto"/>
              <w:jc w:val="center"/>
              <w:rPr>
                <w:rFonts w:ascii="Arial" w:hAnsi="Arial"/>
                <w:b/>
              </w:rPr>
            </w:pPr>
            <w:r>
              <w:rPr>
                <w:rFonts w:ascii="Arial" w:hAnsi="Arial"/>
                <w:b/>
              </w:rPr>
              <w:t>Grupo</w:t>
            </w:r>
          </w:p>
        </w:tc>
        <w:tc>
          <w:tcPr>
            <w:tcW w:w="2693" w:type="dxa"/>
            <w:vAlign w:val="center"/>
          </w:tcPr>
          <w:p w:rsidR="00D06FCD" w:rsidRDefault="00FE64F8">
            <w:pPr>
              <w:spacing w:after="0" w:line="360" w:lineRule="auto"/>
              <w:jc w:val="center"/>
              <w:rPr>
                <w:rFonts w:ascii="Arial" w:hAnsi="Arial"/>
                <w:b/>
              </w:rPr>
            </w:pPr>
            <w:r>
              <w:rPr>
                <w:rFonts w:ascii="Arial" w:hAnsi="Arial"/>
                <w:b/>
              </w:rPr>
              <w:t>Domínio</w:t>
            </w:r>
          </w:p>
        </w:tc>
        <w:tc>
          <w:tcPr>
            <w:tcW w:w="2551" w:type="dxa"/>
            <w:vAlign w:val="center"/>
          </w:tcPr>
          <w:p w:rsidR="00D06FCD" w:rsidRDefault="00FE64F8">
            <w:pPr>
              <w:spacing w:after="0" w:line="360" w:lineRule="auto"/>
              <w:jc w:val="center"/>
              <w:rPr>
                <w:rFonts w:ascii="Arial" w:hAnsi="Arial"/>
                <w:b/>
              </w:rPr>
            </w:pPr>
            <w:r>
              <w:rPr>
                <w:rFonts w:ascii="Arial" w:hAnsi="Arial"/>
                <w:b/>
              </w:rPr>
              <w:t>Cotação (em pontos)</w:t>
            </w:r>
          </w:p>
        </w:tc>
      </w:tr>
      <w:tr w:rsidR="00D06FCD">
        <w:trPr>
          <w:cantSplit/>
          <w:trHeight w:val="875"/>
          <w:jc w:val="center"/>
        </w:trPr>
        <w:tc>
          <w:tcPr>
            <w:tcW w:w="2235" w:type="dxa"/>
            <w:vAlign w:val="center"/>
          </w:tcPr>
          <w:p w:rsidR="00D06FCD" w:rsidRDefault="00FE64F8">
            <w:pPr>
              <w:spacing w:after="0" w:line="360" w:lineRule="auto"/>
              <w:jc w:val="center"/>
              <w:rPr>
                <w:rFonts w:ascii="Arial" w:hAnsi="Arial"/>
              </w:rPr>
            </w:pPr>
            <w:r>
              <w:rPr>
                <w:rFonts w:ascii="Arial" w:hAnsi="Arial"/>
              </w:rPr>
              <w:t>I</w:t>
            </w:r>
          </w:p>
        </w:tc>
        <w:tc>
          <w:tcPr>
            <w:tcW w:w="2693" w:type="dxa"/>
            <w:vAlign w:val="center"/>
          </w:tcPr>
          <w:p w:rsidR="00D06FCD" w:rsidRDefault="00FE64F8">
            <w:pPr>
              <w:spacing w:after="0" w:line="360" w:lineRule="auto"/>
              <w:rPr>
                <w:rFonts w:ascii="Arial" w:hAnsi="Arial"/>
              </w:rPr>
            </w:pPr>
            <w:r>
              <w:rPr>
                <w:rFonts w:ascii="Arial" w:hAnsi="Arial"/>
              </w:rPr>
              <w:t>Compreensão do oral</w:t>
            </w:r>
          </w:p>
        </w:tc>
        <w:tc>
          <w:tcPr>
            <w:tcW w:w="2551" w:type="dxa"/>
            <w:vAlign w:val="center"/>
          </w:tcPr>
          <w:p w:rsidR="00D06FCD" w:rsidRDefault="00FE64F8">
            <w:pPr>
              <w:spacing w:after="0" w:line="360" w:lineRule="auto"/>
              <w:jc w:val="center"/>
              <w:rPr>
                <w:rFonts w:ascii="Arial" w:hAnsi="Arial"/>
              </w:rPr>
            </w:pPr>
            <w:r>
              <w:rPr>
                <w:rFonts w:ascii="Arial" w:hAnsi="Arial"/>
              </w:rPr>
              <w:t>30</w:t>
            </w:r>
          </w:p>
        </w:tc>
      </w:tr>
      <w:tr w:rsidR="00D06FCD">
        <w:trPr>
          <w:trHeight w:val="675"/>
          <w:jc w:val="center"/>
        </w:trPr>
        <w:tc>
          <w:tcPr>
            <w:tcW w:w="2235" w:type="dxa"/>
            <w:vMerge w:val="restart"/>
            <w:vAlign w:val="center"/>
          </w:tcPr>
          <w:p w:rsidR="00D06FCD" w:rsidRDefault="00FE64F8">
            <w:pPr>
              <w:spacing w:after="0" w:line="360" w:lineRule="auto"/>
              <w:jc w:val="center"/>
              <w:rPr>
                <w:rFonts w:ascii="Arial" w:hAnsi="Arial"/>
              </w:rPr>
            </w:pPr>
            <w:r>
              <w:rPr>
                <w:rFonts w:ascii="Arial" w:hAnsi="Arial"/>
              </w:rPr>
              <w:t>II</w:t>
            </w:r>
          </w:p>
        </w:tc>
        <w:tc>
          <w:tcPr>
            <w:tcW w:w="2693" w:type="dxa"/>
            <w:vAlign w:val="center"/>
          </w:tcPr>
          <w:p w:rsidR="00D06FCD" w:rsidRDefault="00FE64F8">
            <w:pPr>
              <w:spacing w:after="0" w:line="360" w:lineRule="auto"/>
              <w:rPr>
                <w:rFonts w:ascii="Arial" w:hAnsi="Arial"/>
              </w:rPr>
            </w:pPr>
            <w:r>
              <w:rPr>
                <w:rFonts w:ascii="Arial" w:hAnsi="Arial"/>
              </w:rPr>
              <w:t>Uso da língua</w:t>
            </w:r>
          </w:p>
        </w:tc>
        <w:tc>
          <w:tcPr>
            <w:tcW w:w="2551" w:type="dxa"/>
            <w:vAlign w:val="center"/>
          </w:tcPr>
          <w:p w:rsidR="00D06FCD" w:rsidRDefault="00FE64F8">
            <w:pPr>
              <w:spacing w:after="0" w:line="360" w:lineRule="auto"/>
              <w:jc w:val="center"/>
              <w:rPr>
                <w:rFonts w:ascii="Arial" w:hAnsi="Arial"/>
              </w:rPr>
            </w:pPr>
            <w:r>
              <w:rPr>
                <w:rFonts w:ascii="Arial" w:hAnsi="Arial"/>
              </w:rPr>
              <w:t>30</w:t>
            </w:r>
          </w:p>
        </w:tc>
      </w:tr>
      <w:tr w:rsidR="00D06FCD">
        <w:trPr>
          <w:trHeight w:val="727"/>
          <w:jc w:val="center"/>
        </w:trPr>
        <w:tc>
          <w:tcPr>
            <w:tcW w:w="2235" w:type="dxa"/>
            <w:vMerge/>
          </w:tcPr>
          <w:p w:rsidR="00D06FCD" w:rsidRDefault="00D06FCD">
            <w:pPr>
              <w:spacing w:after="0" w:line="360" w:lineRule="auto"/>
              <w:jc w:val="center"/>
              <w:rPr>
                <w:rFonts w:ascii="Arial" w:hAnsi="Arial"/>
              </w:rPr>
            </w:pPr>
          </w:p>
        </w:tc>
        <w:tc>
          <w:tcPr>
            <w:tcW w:w="2693" w:type="dxa"/>
            <w:vAlign w:val="center"/>
          </w:tcPr>
          <w:p w:rsidR="00D06FCD" w:rsidRDefault="00FE64F8">
            <w:pPr>
              <w:spacing w:after="0" w:line="360" w:lineRule="auto"/>
              <w:rPr>
                <w:rFonts w:ascii="Arial" w:hAnsi="Arial"/>
              </w:rPr>
            </w:pPr>
            <w:r>
              <w:rPr>
                <w:rFonts w:ascii="Arial" w:hAnsi="Arial"/>
              </w:rPr>
              <w:t>Leitura</w:t>
            </w:r>
          </w:p>
        </w:tc>
        <w:tc>
          <w:tcPr>
            <w:tcW w:w="2551" w:type="dxa"/>
            <w:vAlign w:val="center"/>
          </w:tcPr>
          <w:p w:rsidR="00D06FCD" w:rsidRDefault="00FE64F8">
            <w:pPr>
              <w:spacing w:after="0" w:line="360" w:lineRule="auto"/>
              <w:jc w:val="center"/>
              <w:rPr>
                <w:rFonts w:ascii="Arial" w:hAnsi="Arial"/>
              </w:rPr>
            </w:pPr>
            <w:r>
              <w:rPr>
                <w:rFonts w:ascii="Arial" w:hAnsi="Arial"/>
              </w:rPr>
              <w:t>60</w:t>
            </w:r>
          </w:p>
        </w:tc>
      </w:tr>
      <w:tr w:rsidR="00D06FCD">
        <w:trPr>
          <w:trHeight w:val="979"/>
          <w:jc w:val="center"/>
        </w:trPr>
        <w:tc>
          <w:tcPr>
            <w:tcW w:w="2235" w:type="dxa"/>
            <w:vAlign w:val="center"/>
          </w:tcPr>
          <w:p w:rsidR="00D06FCD" w:rsidRDefault="00FE64F8">
            <w:pPr>
              <w:spacing w:after="0" w:line="360" w:lineRule="auto"/>
              <w:jc w:val="center"/>
              <w:rPr>
                <w:rFonts w:ascii="Arial" w:hAnsi="Arial"/>
              </w:rPr>
            </w:pPr>
            <w:r>
              <w:rPr>
                <w:rFonts w:ascii="Arial" w:hAnsi="Arial"/>
              </w:rPr>
              <w:t>III</w:t>
            </w:r>
          </w:p>
        </w:tc>
        <w:tc>
          <w:tcPr>
            <w:tcW w:w="2693" w:type="dxa"/>
            <w:vAlign w:val="center"/>
          </w:tcPr>
          <w:p w:rsidR="00D06FCD" w:rsidRDefault="00FE64F8">
            <w:pPr>
              <w:spacing w:after="0" w:line="360" w:lineRule="auto"/>
              <w:rPr>
                <w:rFonts w:ascii="Arial" w:hAnsi="Arial"/>
              </w:rPr>
            </w:pPr>
            <w:r>
              <w:rPr>
                <w:rFonts w:ascii="Arial" w:hAnsi="Arial"/>
              </w:rPr>
              <w:t>Produção escrita</w:t>
            </w:r>
          </w:p>
        </w:tc>
        <w:tc>
          <w:tcPr>
            <w:tcW w:w="2551" w:type="dxa"/>
            <w:vAlign w:val="center"/>
          </w:tcPr>
          <w:p w:rsidR="00D06FCD" w:rsidRDefault="00FE64F8">
            <w:pPr>
              <w:spacing w:after="0" w:line="360" w:lineRule="auto"/>
              <w:jc w:val="center"/>
              <w:rPr>
                <w:rFonts w:ascii="Arial" w:hAnsi="Arial"/>
              </w:rPr>
            </w:pPr>
            <w:r>
              <w:rPr>
                <w:rFonts w:ascii="Arial" w:hAnsi="Arial"/>
              </w:rPr>
              <w:t>80</w:t>
            </w:r>
          </w:p>
        </w:tc>
      </w:tr>
    </w:tbl>
    <w:p w:rsidR="00D06FCD" w:rsidRDefault="00D06FCD">
      <w:pPr>
        <w:pStyle w:val="PargrafodaLista"/>
        <w:spacing w:line="360" w:lineRule="auto"/>
        <w:ind w:left="0"/>
        <w:rPr>
          <w:rFonts w:ascii="Arial" w:hAnsi="Arial"/>
          <w:b/>
        </w:rPr>
      </w:pPr>
    </w:p>
    <w:p w:rsidR="00D06FCD" w:rsidRDefault="00D06FCD">
      <w:pPr>
        <w:pStyle w:val="PargrafodaLista"/>
        <w:spacing w:line="360" w:lineRule="auto"/>
        <w:ind w:left="0"/>
        <w:rPr>
          <w:rFonts w:ascii="Arial" w:hAnsi="Arial"/>
          <w:b/>
        </w:rPr>
      </w:pPr>
    </w:p>
    <w:p w:rsidR="00D06FCD" w:rsidRDefault="00D06FCD">
      <w:pPr>
        <w:pStyle w:val="PargrafodaLista"/>
        <w:spacing w:line="360" w:lineRule="auto"/>
        <w:ind w:left="0"/>
        <w:rPr>
          <w:rFonts w:ascii="Arial" w:hAnsi="Arial"/>
          <w:b/>
        </w:rPr>
      </w:pPr>
    </w:p>
    <w:p w:rsidR="00D06FCD" w:rsidRDefault="00FE64F8">
      <w:pPr>
        <w:pStyle w:val="PargrafodaLista"/>
        <w:numPr>
          <w:ilvl w:val="0"/>
          <w:numId w:val="1"/>
        </w:numPr>
        <w:spacing w:line="360" w:lineRule="auto"/>
        <w:rPr>
          <w:rFonts w:ascii="Arial" w:hAnsi="Arial"/>
          <w:b/>
        </w:rPr>
      </w:pPr>
      <w:r>
        <w:rPr>
          <w:rFonts w:ascii="Arial" w:hAnsi="Arial"/>
          <w:b/>
        </w:rPr>
        <w:t>Critérios Gerais de Classificação</w:t>
      </w:r>
    </w:p>
    <w:p w:rsidR="00D06FCD" w:rsidRDefault="00FE64F8">
      <w:pPr>
        <w:spacing w:line="360" w:lineRule="auto"/>
        <w:ind w:firstLine="709"/>
        <w:jc w:val="both"/>
        <w:rPr>
          <w:rFonts w:ascii="Arial" w:hAnsi="Arial"/>
        </w:rPr>
      </w:pPr>
      <w:r>
        <w:rPr>
          <w:rFonts w:ascii="Arial" w:hAnsi="Arial"/>
        </w:rPr>
        <w:t>A classificação a atribuir a cada resposta resulta da aplicação dos critérios gerais e específicos de classificação para cada item e é expressa por um número inteiro. As respostas ilegíveis ou que não possam ser claramente identificadas são classificadas com zero pontos.</w:t>
      </w:r>
    </w:p>
    <w:p w:rsidR="00D06FCD" w:rsidRDefault="00FE64F8">
      <w:pPr>
        <w:spacing w:line="360" w:lineRule="auto"/>
        <w:rPr>
          <w:rFonts w:ascii="Arial" w:hAnsi="Arial"/>
          <w:b/>
          <w:u w:val="single"/>
        </w:rPr>
      </w:pPr>
      <w:r>
        <w:rPr>
          <w:rFonts w:ascii="Arial" w:hAnsi="Arial"/>
          <w:b/>
          <w:u w:val="single"/>
        </w:rPr>
        <w:lastRenderedPageBreak/>
        <w:t>Itens de seleção</w:t>
      </w:r>
    </w:p>
    <w:p w:rsidR="00D06FCD" w:rsidRDefault="00FE64F8">
      <w:pPr>
        <w:numPr>
          <w:ilvl w:val="0"/>
          <w:numId w:val="2"/>
        </w:numPr>
        <w:tabs>
          <w:tab w:val="left" w:pos="420"/>
        </w:tabs>
        <w:spacing w:line="360" w:lineRule="auto"/>
        <w:rPr>
          <w:rFonts w:ascii="Arial" w:hAnsi="Arial"/>
          <w:i/>
        </w:rPr>
      </w:pPr>
      <w:r>
        <w:rPr>
          <w:rFonts w:ascii="Arial" w:hAnsi="Arial"/>
          <w:i/>
        </w:rPr>
        <w:t xml:space="preserve">Escolha múltipla </w:t>
      </w:r>
    </w:p>
    <w:p w:rsidR="00D06FCD" w:rsidRDefault="00FE64F8">
      <w:pPr>
        <w:spacing w:line="360" w:lineRule="auto"/>
        <w:ind w:firstLine="709"/>
        <w:jc w:val="both"/>
        <w:rPr>
          <w:rFonts w:ascii="Arial" w:hAnsi="Arial"/>
        </w:rPr>
      </w:pPr>
      <w:r>
        <w:rPr>
          <w:rFonts w:ascii="Arial" w:hAnsi="Arial"/>
        </w:rPr>
        <w:t>A cotação total do item é atribuída às respostas que apresentem de forma inequívoca a única opção correta. São classificadas com 0 pontos as respostas em que seja assinalada:</w:t>
      </w:r>
    </w:p>
    <w:p w:rsidR="00D06FCD" w:rsidRDefault="00FE64F8">
      <w:pPr>
        <w:pStyle w:val="PargrafodaLista"/>
        <w:numPr>
          <w:ilvl w:val="0"/>
          <w:numId w:val="3"/>
        </w:numPr>
        <w:spacing w:line="360" w:lineRule="auto"/>
        <w:rPr>
          <w:rFonts w:ascii="Arial" w:hAnsi="Arial"/>
        </w:rPr>
      </w:pPr>
      <w:r>
        <w:rPr>
          <w:rFonts w:ascii="Arial" w:hAnsi="Arial"/>
        </w:rPr>
        <w:t>uma opção incorreta;</w:t>
      </w:r>
    </w:p>
    <w:p w:rsidR="00D06FCD" w:rsidRDefault="00FE64F8">
      <w:pPr>
        <w:pStyle w:val="PargrafodaLista"/>
        <w:numPr>
          <w:ilvl w:val="0"/>
          <w:numId w:val="3"/>
        </w:numPr>
        <w:spacing w:line="360" w:lineRule="auto"/>
        <w:rPr>
          <w:rFonts w:ascii="Arial" w:hAnsi="Arial"/>
        </w:rPr>
      </w:pPr>
      <w:r>
        <w:rPr>
          <w:rFonts w:ascii="Arial" w:hAnsi="Arial"/>
        </w:rPr>
        <w:t>mais do que uma opção;</w:t>
      </w:r>
    </w:p>
    <w:p w:rsidR="00D06FCD" w:rsidRDefault="00FE64F8">
      <w:pPr>
        <w:spacing w:line="360" w:lineRule="auto"/>
        <w:ind w:firstLine="709"/>
        <w:rPr>
          <w:rFonts w:ascii="Arial" w:hAnsi="Arial"/>
        </w:rPr>
      </w:pPr>
      <w:r>
        <w:rPr>
          <w:rFonts w:ascii="Arial" w:hAnsi="Arial"/>
        </w:rPr>
        <w:t>Não há lugar a classificações intermédias.</w:t>
      </w:r>
    </w:p>
    <w:p w:rsidR="00D06FCD" w:rsidRDefault="00FE64F8">
      <w:pPr>
        <w:numPr>
          <w:ilvl w:val="0"/>
          <w:numId w:val="4"/>
        </w:numPr>
        <w:tabs>
          <w:tab w:val="left" w:pos="420"/>
        </w:tabs>
        <w:spacing w:line="360" w:lineRule="auto"/>
        <w:rPr>
          <w:rFonts w:ascii="Arial" w:hAnsi="Arial"/>
          <w:i/>
        </w:rPr>
      </w:pPr>
      <w:r>
        <w:rPr>
          <w:rFonts w:ascii="Arial" w:hAnsi="Arial"/>
          <w:i/>
        </w:rPr>
        <w:t>Associação / Correspondência</w:t>
      </w:r>
    </w:p>
    <w:p w:rsidR="00D06FCD" w:rsidRDefault="00FE64F8">
      <w:pPr>
        <w:spacing w:after="0" w:line="360" w:lineRule="auto"/>
        <w:ind w:firstLine="709"/>
        <w:jc w:val="both"/>
        <w:rPr>
          <w:rFonts w:ascii="Arial" w:hAnsi="Arial"/>
        </w:rPr>
      </w:pPr>
      <w:r>
        <w:rPr>
          <w:rFonts w:ascii="Arial" w:hAnsi="Arial"/>
        </w:rPr>
        <w:t>A classificação é atribuída de acordo com o nível de desempenho. Considera-se incorreta qualquer associação / correspondência que relacione um elemento de um dado conjunto com mais do que um elemento de outro conjunto.</w:t>
      </w:r>
    </w:p>
    <w:p w:rsidR="00D06FCD" w:rsidRDefault="00FE64F8">
      <w:pPr>
        <w:spacing w:after="0" w:line="360" w:lineRule="auto"/>
        <w:ind w:firstLine="709"/>
        <w:jc w:val="both"/>
        <w:rPr>
          <w:rFonts w:ascii="Arial" w:hAnsi="Arial"/>
        </w:rPr>
      </w:pPr>
      <w:r>
        <w:rPr>
          <w:rFonts w:ascii="Arial" w:hAnsi="Arial"/>
        </w:rPr>
        <w:t xml:space="preserve">É classificada com zero pontos qualquer resposta que não atinja o nível 1 de desempenho. </w:t>
      </w:r>
    </w:p>
    <w:p w:rsidR="00D06FCD" w:rsidRDefault="00D06FCD">
      <w:pPr>
        <w:spacing w:after="0" w:line="360" w:lineRule="auto"/>
        <w:ind w:firstLine="709"/>
        <w:rPr>
          <w:rFonts w:ascii="Arial" w:hAnsi="Arial"/>
        </w:rPr>
      </w:pPr>
    </w:p>
    <w:p w:rsidR="00D06FCD" w:rsidRDefault="00FE64F8">
      <w:pPr>
        <w:spacing w:line="360" w:lineRule="auto"/>
        <w:rPr>
          <w:rFonts w:ascii="Arial" w:hAnsi="Arial"/>
          <w:b/>
          <w:u w:val="single"/>
        </w:rPr>
      </w:pPr>
      <w:r>
        <w:rPr>
          <w:rFonts w:ascii="Arial" w:hAnsi="Arial"/>
          <w:b/>
          <w:u w:val="single"/>
        </w:rPr>
        <w:t>Itens de construção</w:t>
      </w:r>
    </w:p>
    <w:p w:rsidR="00D06FCD" w:rsidRDefault="00FE64F8">
      <w:pPr>
        <w:numPr>
          <w:ilvl w:val="0"/>
          <w:numId w:val="4"/>
        </w:numPr>
        <w:tabs>
          <w:tab w:val="left" w:pos="420"/>
        </w:tabs>
        <w:spacing w:line="360" w:lineRule="auto"/>
        <w:rPr>
          <w:rFonts w:ascii="Arial" w:hAnsi="Arial"/>
          <w:i/>
        </w:rPr>
      </w:pPr>
      <w:r>
        <w:rPr>
          <w:rFonts w:ascii="Arial" w:hAnsi="Arial"/>
          <w:i/>
        </w:rPr>
        <w:t>Resposta curta</w:t>
      </w:r>
    </w:p>
    <w:p w:rsidR="00D06FCD" w:rsidRDefault="00FE64F8">
      <w:pPr>
        <w:spacing w:after="0" w:line="360" w:lineRule="auto"/>
        <w:ind w:firstLine="709"/>
        <w:rPr>
          <w:rFonts w:ascii="Arial" w:hAnsi="Arial"/>
        </w:rPr>
      </w:pPr>
      <w:r>
        <w:rPr>
          <w:rFonts w:ascii="Arial" w:hAnsi="Arial"/>
        </w:rPr>
        <w:t xml:space="preserve">Os critérios de classificação das respostas aos itens de resposta curta podem apresentar-se organizados por níveis de desempenho. A cada nível de desempenho corresponde uma dada pontuação. </w:t>
      </w:r>
    </w:p>
    <w:p w:rsidR="00D06FCD" w:rsidRDefault="00FE64F8">
      <w:pPr>
        <w:spacing w:after="0" w:line="360" w:lineRule="auto"/>
        <w:ind w:firstLine="709"/>
        <w:rPr>
          <w:rFonts w:ascii="Arial" w:hAnsi="Arial"/>
        </w:rPr>
      </w:pPr>
      <w:r>
        <w:rPr>
          <w:rFonts w:ascii="Arial" w:hAnsi="Arial"/>
        </w:rPr>
        <w:t xml:space="preserve">É classificada com zero pontos qualquer resposta que não atinja o nível 1 de desempenho. </w:t>
      </w:r>
    </w:p>
    <w:p w:rsidR="00D06FCD" w:rsidRDefault="00D06FCD">
      <w:pPr>
        <w:spacing w:after="0" w:line="360" w:lineRule="auto"/>
        <w:ind w:firstLine="709"/>
        <w:jc w:val="both"/>
        <w:rPr>
          <w:rFonts w:ascii="Arial" w:hAnsi="Arial"/>
          <w:sz w:val="15"/>
          <w:szCs w:val="15"/>
        </w:rPr>
      </w:pPr>
    </w:p>
    <w:p w:rsidR="00D06FCD" w:rsidRDefault="00FE64F8">
      <w:pPr>
        <w:numPr>
          <w:ilvl w:val="0"/>
          <w:numId w:val="4"/>
        </w:numPr>
        <w:tabs>
          <w:tab w:val="left" w:pos="420"/>
        </w:tabs>
        <w:spacing w:line="360" w:lineRule="auto"/>
        <w:rPr>
          <w:rFonts w:ascii="Arial" w:hAnsi="Arial"/>
          <w:i/>
        </w:rPr>
      </w:pPr>
      <w:r>
        <w:rPr>
          <w:rFonts w:ascii="Arial" w:hAnsi="Arial"/>
          <w:i/>
        </w:rPr>
        <w:t>Resposta restrita  e resposta extensa</w:t>
      </w:r>
    </w:p>
    <w:p w:rsidR="00D06FCD" w:rsidRDefault="00FE64F8">
      <w:pPr>
        <w:spacing w:after="0" w:line="360" w:lineRule="auto"/>
        <w:ind w:firstLine="709"/>
        <w:jc w:val="both"/>
        <w:rPr>
          <w:rFonts w:ascii="Arial" w:hAnsi="Arial"/>
        </w:rPr>
      </w:pPr>
      <w:r>
        <w:rPr>
          <w:rFonts w:ascii="Arial" w:hAnsi="Arial"/>
        </w:rPr>
        <w:t>Os critérios de classificação das respostas aos itens de resposta curta podem apresentar-se organizados por níveis de desempenho. A cada nível de desempenho corresponde uma dada pontuação.</w:t>
      </w:r>
    </w:p>
    <w:p w:rsidR="00D06FCD" w:rsidRDefault="00FE64F8">
      <w:pPr>
        <w:spacing w:after="0" w:line="360" w:lineRule="auto"/>
        <w:ind w:firstLine="709"/>
        <w:jc w:val="both"/>
        <w:rPr>
          <w:rFonts w:ascii="Arial" w:hAnsi="Arial"/>
        </w:rPr>
      </w:pPr>
      <w:r>
        <w:rPr>
          <w:rFonts w:ascii="Arial" w:hAnsi="Arial"/>
        </w:rPr>
        <w:t xml:space="preserve">É classificada com zero pontos qualquer resposta que não atinja o nível 1 de desempenho. </w:t>
      </w:r>
    </w:p>
    <w:p w:rsidR="00D06FCD" w:rsidRDefault="00D06FCD">
      <w:pPr>
        <w:spacing w:after="0" w:line="360" w:lineRule="auto"/>
        <w:ind w:firstLine="709"/>
        <w:jc w:val="both"/>
        <w:rPr>
          <w:rFonts w:ascii="Arial" w:hAnsi="Arial"/>
        </w:rPr>
      </w:pPr>
    </w:p>
    <w:tbl>
      <w:tblPr>
        <w:tblStyle w:val="Tabelacomgrelha"/>
        <w:tblW w:w="0" w:type="auto"/>
        <w:tblLook w:val="0000"/>
      </w:tblPr>
      <w:tblGrid>
        <w:gridCol w:w="843"/>
        <w:gridCol w:w="9839"/>
      </w:tblGrid>
      <w:tr w:rsidR="00D06FCD">
        <w:tc>
          <w:tcPr>
            <w:tcW w:w="843" w:type="dxa"/>
          </w:tcPr>
          <w:p w:rsidR="00D06FCD" w:rsidRDefault="00FE64F8">
            <w:pPr>
              <w:spacing w:after="0" w:line="360" w:lineRule="auto"/>
              <w:rPr>
                <w:rFonts w:ascii="Arial" w:hAnsi="Arial"/>
              </w:rPr>
            </w:pPr>
            <w:r>
              <w:rPr>
                <w:rFonts w:ascii="Arial" w:hAnsi="Arial"/>
              </w:rPr>
              <w:t>Níveis</w:t>
            </w:r>
          </w:p>
        </w:tc>
        <w:tc>
          <w:tcPr>
            <w:tcW w:w="9839" w:type="dxa"/>
          </w:tcPr>
          <w:p w:rsidR="00D06FCD" w:rsidRDefault="00FE64F8">
            <w:pPr>
              <w:spacing w:after="0" w:line="360" w:lineRule="auto"/>
              <w:rPr>
                <w:rFonts w:ascii="Arial" w:hAnsi="Arial"/>
              </w:rPr>
            </w:pPr>
            <w:r>
              <w:rPr>
                <w:rFonts w:ascii="Arial" w:hAnsi="Arial"/>
              </w:rPr>
              <w:t>Descritores</w:t>
            </w:r>
          </w:p>
        </w:tc>
      </w:tr>
      <w:tr w:rsidR="00D06FCD">
        <w:tc>
          <w:tcPr>
            <w:tcW w:w="843" w:type="dxa"/>
          </w:tcPr>
          <w:p w:rsidR="00D06FCD" w:rsidRDefault="00FE64F8">
            <w:pPr>
              <w:spacing w:after="0" w:line="360" w:lineRule="auto"/>
              <w:rPr>
                <w:rFonts w:ascii="Arial" w:hAnsi="Arial"/>
              </w:rPr>
            </w:pPr>
            <w:r>
              <w:rPr>
                <w:rFonts w:ascii="Arial" w:hAnsi="Arial"/>
              </w:rPr>
              <w:t>3</w:t>
            </w:r>
          </w:p>
        </w:tc>
        <w:tc>
          <w:tcPr>
            <w:tcW w:w="9839" w:type="dxa"/>
          </w:tcPr>
          <w:p w:rsidR="00D06FCD" w:rsidRDefault="00FE64F8">
            <w:pPr>
              <w:spacing w:after="0" w:line="360" w:lineRule="auto"/>
              <w:rPr>
                <w:rFonts w:ascii="Arial" w:hAnsi="Arial"/>
              </w:rPr>
            </w:pPr>
            <w:r>
              <w:rPr>
                <w:rFonts w:ascii="Arial" w:hAnsi="Arial"/>
              </w:rPr>
              <w:t>Localiza corretamente toda a informação; associa corretamente todos os aspetos da questão  e a respetiva utilização em contexto</w:t>
            </w:r>
          </w:p>
        </w:tc>
      </w:tr>
      <w:tr w:rsidR="00D06FCD">
        <w:tc>
          <w:tcPr>
            <w:tcW w:w="843" w:type="dxa"/>
          </w:tcPr>
          <w:p w:rsidR="00D06FCD" w:rsidRDefault="00FE64F8">
            <w:pPr>
              <w:spacing w:after="0" w:line="360" w:lineRule="auto"/>
              <w:rPr>
                <w:rFonts w:ascii="Arial" w:hAnsi="Arial"/>
              </w:rPr>
            </w:pPr>
            <w:r>
              <w:rPr>
                <w:rFonts w:ascii="Arial" w:hAnsi="Arial"/>
              </w:rPr>
              <w:t>2</w:t>
            </w:r>
          </w:p>
        </w:tc>
        <w:tc>
          <w:tcPr>
            <w:tcW w:w="9839" w:type="dxa"/>
          </w:tcPr>
          <w:p w:rsidR="00D06FCD" w:rsidRDefault="00D06FCD">
            <w:pPr>
              <w:spacing w:after="0" w:line="360" w:lineRule="auto"/>
              <w:rPr>
                <w:rFonts w:ascii="Arial" w:hAnsi="Arial"/>
              </w:rPr>
            </w:pPr>
          </w:p>
        </w:tc>
      </w:tr>
      <w:tr w:rsidR="00D06FCD">
        <w:tc>
          <w:tcPr>
            <w:tcW w:w="843" w:type="dxa"/>
          </w:tcPr>
          <w:p w:rsidR="00D06FCD" w:rsidRDefault="00FE64F8">
            <w:pPr>
              <w:spacing w:after="0" w:line="360" w:lineRule="auto"/>
              <w:rPr>
                <w:rFonts w:ascii="Arial" w:hAnsi="Arial"/>
              </w:rPr>
            </w:pPr>
            <w:r>
              <w:rPr>
                <w:rFonts w:ascii="Arial" w:hAnsi="Arial"/>
              </w:rPr>
              <w:t>1</w:t>
            </w:r>
          </w:p>
        </w:tc>
        <w:tc>
          <w:tcPr>
            <w:tcW w:w="9839" w:type="dxa"/>
          </w:tcPr>
          <w:p w:rsidR="00D06FCD" w:rsidRDefault="00FE64F8">
            <w:pPr>
              <w:spacing w:after="0" w:line="360" w:lineRule="auto"/>
              <w:rPr>
                <w:rFonts w:ascii="Arial" w:hAnsi="Arial"/>
              </w:rPr>
            </w:pPr>
            <w:r>
              <w:rPr>
                <w:rFonts w:ascii="Arial" w:hAnsi="Arial"/>
              </w:rPr>
              <w:t>Localiza apenas 1 / 2 aspetos da informação; associa apenas 1 aspeto da questão e a sua respetiva utilização em contexto</w:t>
            </w:r>
          </w:p>
        </w:tc>
      </w:tr>
    </w:tbl>
    <w:p w:rsidR="00D06FCD" w:rsidRDefault="00D06FCD">
      <w:pPr>
        <w:autoSpaceDE w:val="0"/>
        <w:autoSpaceDN w:val="0"/>
        <w:adjustRightInd w:val="0"/>
        <w:spacing w:after="0" w:line="360" w:lineRule="auto"/>
        <w:ind w:firstLine="708"/>
        <w:jc w:val="both"/>
        <w:rPr>
          <w:rFonts w:ascii="Arial" w:hAnsi="Arial"/>
          <w:i/>
        </w:rPr>
      </w:pPr>
    </w:p>
    <w:p w:rsidR="00D06FCD" w:rsidRDefault="00FE64F8">
      <w:pPr>
        <w:numPr>
          <w:ilvl w:val="0"/>
          <w:numId w:val="4"/>
        </w:numPr>
        <w:autoSpaceDE w:val="0"/>
        <w:autoSpaceDN w:val="0"/>
        <w:adjustRightInd w:val="0"/>
        <w:spacing w:after="0" w:line="360" w:lineRule="auto"/>
        <w:jc w:val="both"/>
        <w:rPr>
          <w:rFonts w:ascii="Arial" w:hAnsi="Arial"/>
          <w:i/>
          <w:u w:val="single"/>
        </w:rPr>
      </w:pPr>
      <w:r>
        <w:rPr>
          <w:rFonts w:ascii="Arial" w:hAnsi="Arial"/>
          <w:i/>
        </w:rPr>
        <w:t xml:space="preserve">Resposta extensa    </w:t>
      </w:r>
      <w:r>
        <w:rPr>
          <w:rFonts w:ascii="Arial" w:hAnsi="Arial"/>
          <w:i/>
          <w:u w:val="single"/>
        </w:rPr>
        <w:t xml:space="preserve">                                                                                                          </w:t>
      </w:r>
    </w:p>
    <w:p w:rsidR="00D06FCD" w:rsidRDefault="00FE64F8">
      <w:pPr>
        <w:autoSpaceDE w:val="0"/>
        <w:autoSpaceDN w:val="0"/>
        <w:adjustRightInd w:val="0"/>
        <w:spacing w:after="0" w:line="360" w:lineRule="auto"/>
        <w:ind w:firstLine="708"/>
        <w:jc w:val="both"/>
        <w:rPr>
          <w:rFonts w:ascii="Arial" w:hAnsi="Arial"/>
          <w:i/>
          <w:iCs/>
        </w:rPr>
      </w:pPr>
      <w:r>
        <w:rPr>
          <w:rFonts w:ascii="Arial" w:hAnsi="Arial"/>
        </w:rPr>
        <w:t xml:space="preserve">Os critérios de classificação têm por base os descritores do </w:t>
      </w:r>
      <w:r>
        <w:rPr>
          <w:rFonts w:ascii="Arial" w:hAnsi="Arial"/>
          <w:i/>
          <w:iCs/>
        </w:rPr>
        <w:t xml:space="preserve">Quadro Europeu Comum de Referência para as Línguas </w:t>
      </w:r>
      <w:r>
        <w:rPr>
          <w:rFonts w:ascii="Arial" w:hAnsi="Arial"/>
        </w:rPr>
        <w:t>relativos às diferentes competências de uso da língua – ler e escrever – e à competência sociocultural.</w:t>
      </w:r>
    </w:p>
    <w:p w:rsidR="00D06FCD" w:rsidRDefault="00FE64F8">
      <w:pPr>
        <w:autoSpaceDE w:val="0"/>
        <w:autoSpaceDN w:val="0"/>
        <w:adjustRightInd w:val="0"/>
        <w:spacing w:after="0" w:line="360" w:lineRule="auto"/>
        <w:ind w:firstLine="708"/>
        <w:jc w:val="both"/>
        <w:rPr>
          <w:rFonts w:ascii="Arial" w:hAnsi="Arial"/>
        </w:rPr>
      </w:pPr>
      <w:r>
        <w:rPr>
          <w:rFonts w:ascii="Arial" w:hAnsi="Arial"/>
        </w:rPr>
        <w:lastRenderedPageBreak/>
        <w:t>A classificação a atribuir a cada resposta resulta da aplicação dos critérios gerais e dos critérios específicos de classificação apresentados para cada item e é expressa por um número inteiro.</w:t>
      </w:r>
    </w:p>
    <w:p w:rsidR="00D06FCD" w:rsidRDefault="00FE64F8">
      <w:pPr>
        <w:autoSpaceDE w:val="0"/>
        <w:autoSpaceDN w:val="0"/>
        <w:adjustRightInd w:val="0"/>
        <w:spacing w:after="0" w:line="360" w:lineRule="auto"/>
        <w:ind w:firstLine="708"/>
        <w:jc w:val="both"/>
        <w:rPr>
          <w:rFonts w:ascii="Arial" w:hAnsi="Arial"/>
        </w:rPr>
      </w:pPr>
      <w:r>
        <w:rPr>
          <w:rFonts w:ascii="Arial" w:hAnsi="Arial"/>
        </w:rPr>
        <w:t>As respostas ilegíveis ou que não possam ser claramente identificadas são classificadas com zero pontos.</w:t>
      </w:r>
    </w:p>
    <w:p w:rsidR="00D06FCD" w:rsidRDefault="00FE64F8">
      <w:pPr>
        <w:spacing w:line="360" w:lineRule="auto"/>
        <w:ind w:firstLine="708"/>
        <w:jc w:val="both"/>
        <w:rPr>
          <w:rFonts w:ascii="Arial" w:hAnsi="Arial"/>
        </w:rPr>
      </w:pPr>
      <w:r>
        <w:rPr>
          <w:rFonts w:ascii="Arial" w:hAnsi="Arial"/>
        </w:rPr>
        <w:t xml:space="preserve"> A cada um desses níveis é atribuída uma única pontuação e para a tarefa final são considerados sempre cinco níveis (N5, N4, N3, N2 e N1) em cada parâmetro – competência pragmática e competência linguística. Qualquer resposta que não corresponda ao nível mais alto descrito é integrada num dos outros níveis apresentados, de acordo com o desempenho observado. Estão previstos níveis de desempenho intercalares não descritos. Nestes casos, sempre que uma resposta revele um desempenho que não se integre em nenhum de dois níveis consecutivos descritos, deve ser-lhe atribuída a pontuação correspondente ao nível intercalar que os separa. É classificada com zero pontos qualquer resposta que não atinja o nível 1 de desempenho.</w:t>
      </w:r>
    </w:p>
    <w:p w:rsidR="00D06FCD" w:rsidRDefault="00FE64F8">
      <w:pPr>
        <w:autoSpaceDE w:val="0"/>
        <w:autoSpaceDN w:val="0"/>
        <w:adjustRightInd w:val="0"/>
        <w:spacing w:after="0" w:line="360" w:lineRule="auto"/>
        <w:ind w:firstLine="708"/>
        <w:jc w:val="both"/>
        <w:rPr>
          <w:rFonts w:ascii="Arial" w:hAnsi="Arial"/>
        </w:rPr>
      </w:pPr>
      <w:r>
        <w:rPr>
          <w:rFonts w:ascii="Arial" w:hAnsi="Arial"/>
        </w:rPr>
        <w:t>A prova escrita tem um peso de 70%</w:t>
      </w:r>
    </w:p>
    <w:p w:rsidR="00D06FCD" w:rsidRDefault="00D06FCD">
      <w:pPr>
        <w:spacing w:line="360" w:lineRule="auto"/>
        <w:jc w:val="both"/>
        <w:rPr>
          <w:rFonts w:ascii="Arial" w:hAnsi="Arial"/>
        </w:rPr>
      </w:pPr>
    </w:p>
    <w:p w:rsidR="00D06FCD" w:rsidRDefault="00FE64F8">
      <w:pPr>
        <w:pStyle w:val="PargrafodaLista"/>
        <w:spacing w:line="360" w:lineRule="auto"/>
        <w:ind w:left="0"/>
        <w:rPr>
          <w:rFonts w:ascii="Arial" w:hAnsi="Arial"/>
          <w:b/>
        </w:rPr>
      </w:pPr>
      <w:r>
        <w:rPr>
          <w:rFonts w:ascii="Arial" w:hAnsi="Arial"/>
          <w:b/>
          <w:u w:val="single"/>
        </w:rPr>
        <w:t>Prova oral</w:t>
      </w:r>
    </w:p>
    <w:p w:rsidR="00D06FCD" w:rsidRDefault="00FE64F8">
      <w:pPr>
        <w:spacing w:after="0" w:line="360" w:lineRule="auto"/>
        <w:ind w:firstLine="708"/>
        <w:jc w:val="both"/>
        <w:rPr>
          <w:rFonts w:ascii="Arial" w:hAnsi="Arial" w:cs="Arial"/>
        </w:rPr>
      </w:pPr>
      <w:r>
        <w:rPr>
          <w:rFonts w:ascii="Arial" w:hAnsi="Arial"/>
        </w:rPr>
        <w:t xml:space="preserve">A </w:t>
      </w:r>
      <w:r>
        <w:rPr>
          <w:rFonts w:ascii="Arial" w:hAnsi="Arial"/>
          <w:b/>
        </w:rPr>
        <w:t>prova oral</w:t>
      </w:r>
      <w:r>
        <w:rPr>
          <w:rFonts w:ascii="Arial" w:hAnsi="Arial"/>
        </w:rPr>
        <w:t xml:space="preserve"> consiste, no seu conjunto, na realização de uma ou mais tarefas complexas, que se desenvolvem através de uma sequência de atividades que recobrem a demonstração de competências integradas de leitura e de audição. O tema da(s) tarefa(s) insere-se em domínios de referência prescritos </w:t>
      </w:r>
      <w:r>
        <w:rPr>
          <w:rFonts w:ascii="Arial" w:hAnsi="Arial" w:cs="Arial"/>
        </w:rPr>
        <w:t>pelo Programa do Nível de Continuação para os 10.º e 11.º anos.</w:t>
      </w:r>
    </w:p>
    <w:p w:rsidR="00D06FCD" w:rsidRDefault="00FE64F8">
      <w:pPr>
        <w:spacing w:after="0" w:line="360" w:lineRule="auto"/>
        <w:rPr>
          <w:rFonts w:ascii="Arial" w:hAnsi="Arial" w:cs="Arial"/>
        </w:rPr>
      </w:pPr>
      <w:r>
        <w:rPr>
          <w:rFonts w:ascii="Arial" w:hAnsi="Arial" w:cs="Arial"/>
          <w:lang w:val="en-US" w:eastAsia="zh-CN"/>
        </w:rPr>
        <w:t>A prova</w:t>
      </w:r>
      <w:r>
        <w:rPr>
          <w:rFonts w:ascii="Arial" w:hAnsi="Arial" w:cs="Arial"/>
          <w:lang w:eastAsia="zh-CN"/>
        </w:rPr>
        <w:t xml:space="preserve"> tem</w:t>
      </w:r>
      <w:r>
        <w:rPr>
          <w:rFonts w:ascii="Arial" w:hAnsi="Arial" w:cs="Arial"/>
          <w:lang w:val="en-US" w:eastAsia="zh-CN"/>
        </w:rPr>
        <w:t xml:space="preserve"> </w:t>
      </w:r>
      <w:r>
        <w:rPr>
          <w:rFonts w:ascii="Arial" w:hAnsi="Arial" w:cs="Arial"/>
          <w:lang w:eastAsia="zh-CN"/>
        </w:rPr>
        <w:t>é</w:t>
      </w:r>
      <w:r>
        <w:rPr>
          <w:rFonts w:ascii="Arial" w:hAnsi="Arial" w:cs="Arial"/>
          <w:lang w:val="en-US" w:eastAsia="zh-CN"/>
        </w:rPr>
        <w:t xml:space="preserve"> constituída pelos seguintes momentos:</w:t>
      </w:r>
    </w:p>
    <w:p w:rsidR="00D06FCD" w:rsidRDefault="00FE64F8">
      <w:pPr>
        <w:spacing w:after="0" w:line="360" w:lineRule="auto"/>
        <w:rPr>
          <w:rFonts w:ascii="Arial" w:hAnsi="Arial" w:cs="Arial"/>
        </w:rPr>
      </w:pPr>
      <w:r>
        <w:rPr>
          <w:rFonts w:ascii="Arial" w:hAnsi="Arial" w:cs="Arial"/>
          <w:lang w:val="en-US" w:eastAsia="zh-CN"/>
        </w:rPr>
        <w:t xml:space="preserve">· </w:t>
      </w:r>
      <w:r>
        <w:rPr>
          <w:rFonts w:ascii="Arial" w:hAnsi="Arial" w:cs="Arial"/>
          <w:b/>
          <w:bCs/>
          <w:lang w:val="en-US" w:eastAsia="zh-CN"/>
        </w:rPr>
        <w:t>Parte I</w:t>
      </w:r>
      <w:r>
        <w:rPr>
          <w:rFonts w:ascii="Arial" w:hAnsi="Arial" w:cs="Arial"/>
          <w:lang w:val="en-US" w:eastAsia="zh-CN"/>
        </w:rPr>
        <w:t>: Interação examinador e examinando</w:t>
      </w:r>
      <w:r>
        <w:rPr>
          <w:rFonts w:ascii="Arial" w:hAnsi="Arial" w:cs="Arial"/>
          <w:lang w:eastAsia="zh-CN"/>
        </w:rPr>
        <w:t>/s</w:t>
      </w:r>
      <w:r>
        <w:rPr>
          <w:rFonts w:ascii="Arial" w:hAnsi="Arial" w:cs="Arial"/>
          <w:lang w:val="en-US" w:eastAsia="zh-CN"/>
        </w:rPr>
        <w:t xml:space="preserve"> – Conversa informal </w:t>
      </w:r>
      <w:r>
        <w:rPr>
          <w:rFonts w:ascii="Arial" w:hAnsi="Arial" w:cs="Arial"/>
          <w:lang w:eastAsia="zh-CN"/>
        </w:rPr>
        <w:t xml:space="preserve">com </w:t>
      </w:r>
      <w:r>
        <w:rPr>
          <w:rFonts w:ascii="Arial" w:hAnsi="Arial" w:cs="Arial"/>
          <w:lang w:val="en-US" w:eastAsia="zh-CN"/>
        </w:rPr>
        <w:t>o</w:t>
      </w:r>
      <w:r>
        <w:rPr>
          <w:rFonts w:ascii="Arial" w:hAnsi="Arial" w:cs="Arial"/>
          <w:lang w:eastAsia="zh-CN"/>
        </w:rPr>
        <w:t>/s</w:t>
      </w:r>
      <w:r>
        <w:rPr>
          <w:rFonts w:ascii="Arial" w:hAnsi="Arial" w:cs="Arial"/>
          <w:lang w:val="en-US" w:eastAsia="zh-CN"/>
        </w:rPr>
        <w:t xml:space="preserve"> aluno</w:t>
      </w:r>
      <w:r>
        <w:rPr>
          <w:rFonts w:ascii="Arial" w:hAnsi="Arial" w:cs="Arial"/>
          <w:lang w:eastAsia="zh-CN"/>
        </w:rPr>
        <w:t>/s</w:t>
      </w:r>
      <w:r>
        <w:rPr>
          <w:rFonts w:ascii="Arial" w:hAnsi="Arial" w:cs="Arial"/>
          <w:lang w:val="en-US" w:eastAsia="zh-CN"/>
        </w:rPr>
        <w:t xml:space="preserve"> e/ou uma situação </w:t>
      </w:r>
    </w:p>
    <w:p w:rsidR="00D06FCD" w:rsidRDefault="00FE64F8">
      <w:pPr>
        <w:spacing w:after="0" w:line="360" w:lineRule="auto"/>
        <w:rPr>
          <w:rFonts w:ascii="Arial" w:hAnsi="Arial" w:cs="Arial"/>
        </w:rPr>
      </w:pPr>
      <w:r>
        <w:rPr>
          <w:rFonts w:ascii="Arial" w:hAnsi="Arial" w:cs="Arial"/>
          <w:lang w:val="en-US" w:eastAsia="zh-CN"/>
        </w:rPr>
        <w:t xml:space="preserve">corrente do dia. </w:t>
      </w:r>
    </w:p>
    <w:p w:rsidR="00D06FCD" w:rsidRDefault="00FE64F8">
      <w:pPr>
        <w:spacing w:after="0" w:line="360" w:lineRule="auto"/>
        <w:rPr>
          <w:rFonts w:ascii="Arial" w:hAnsi="Arial" w:cs="Arial"/>
        </w:rPr>
      </w:pPr>
      <w:r>
        <w:rPr>
          <w:rFonts w:ascii="Arial" w:hAnsi="Arial" w:cs="Arial"/>
          <w:lang w:val="en-US" w:eastAsia="zh-CN"/>
        </w:rPr>
        <w:t xml:space="preserve">· </w:t>
      </w:r>
      <w:r>
        <w:rPr>
          <w:rFonts w:ascii="Arial" w:hAnsi="Arial" w:cs="Arial"/>
          <w:b/>
          <w:bCs/>
          <w:lang w:val="en-US" w:eastAsia="zh-CN"/>
        </w:rPr>
        <w:t>Parte II</w:t>
      </w:r>
      <w:r>
        <w:rPr>
          <w:rFonts w:ascii="Arial" w:hAnsi="Arial" w:cs="Arial"/>
          <w:lang w:val="en-US" w:eastAsia="zh-CN"/>
        </w:rPr>
        <w:t>: Produção oral individual do</w:t>
      </w:r>
      <w:r>
        <w:rPr>
          <w:rFonts w:ascii="Arial" w:hAnsi="Arial" w:cs="Arial"/>
          <w:lang w:eastAsia="zh-CN"/>
        </w:rPr>
        <w:t>/s</w:t>
      </w:r>
      <w:r>
        <w:rPr>
          <w:rFonts w:ascii="Arial" w:hAnsi="Arial" w:cs="Arial"/>
          <w:lang w:val="en-US" w:eastAsia="zh-CN"/>
        </w:rPr>
        <w:t xml:space="preserve"> examinando</w:t>
      </w:r>
      <w:r>
        <w:rPr>
          <w:rFonts w:ascii="Arial" w:hAnsi="Arial" w:cs="Arial"/>
          <w:lang w:eastAsia="zh-CN"/>
        </w:rPr>
        <w:t>/s</w:t>
      </w:r>
      <w:r>
        <w:rPr>
          <w:rFonts w:ascii="Arial" w:hAnsi="Arial" w:cs="Arial"/>
          <w:lang w:val="en-US" w:eastAsia="zh-CN"/>
        </w:rPr>
        <w:t xml:space="preserve"> – Descrição de uma imagem ou expressão </w:t>
      </w:r>
    </w:p>
    <w:p w:rsidR="00D06FCD" w:rsidRDefault="00FE64F8">
      <w:pPr>
        <w:spacing w:after="0" w:line="360" w:lineRule="auto"/>
        <w:rPr>
          <w:rFonts w:ascii="Arial" w:hAnsi="Arial" w:cs="Arial"/>
        </w:rPr>
      </w:pPr>
      <w:r>
        <w:rPr>
          <w:rFonts w:ascii="Arial" w:hAnsi="Arial" w:cs="Arial"/>
          <w:lang w:val="en-US" w:eastAsia="zh-CN"/>
        </w:rPr>
        <w:t>de um ponto de vista a partir de um documento (desenho, imagem</w:t>
      </w:r>
      <w:r>
        <w:rPr>
          <w:rFonts w:ascii="Arial" w:hAnsi="Arial" w:cs="Arial"/>
          <w:lang w:eastAsia="zh-CN"/>
        </w:rPr>
        <w:t xml:space="preserve">, </w:t>
      </w:r>
      <w:r>
        <w:rPr>
          <w:rFonts w:ascii="Arial" w:hAnsi="Arial" w:cs="Arial"/>
          <w:lang w:val="en-US" w:eastAsia="zh-CN"/>
        </w:rPr>
        <w:t xml:space="preserve">banda desenhada, artigo </w:t>
      </w:r>
    </w:p>
    <w:p w:rsidR="00D06FCD" w:rsidRDefault="00FE64F8">
      <w:pPr>
        <w:spacing w:after="0" w:line="360" w:lineRule="auto"/>
        <w:rPr>
          <w:rFonts w:ascii="Arial" w:hAnsi="Arial" w:cs="Arial"/>
        </w:rPr>
      </w:pPr>
      <w:r>
        <w:rPr>
          <w:rFonts w:ascii="Arial" w:hAnsi="Arial" w:cs="Arial"/>
          <w:lang w:val="en-US" w:eastAsia="zh-CN"/>
        </w:rPr>
        <w:t xml:space="preserve">de jornal, notícia de revista, pequeno texto). </w:t>
      </w:r>
    </w:p>
    <w:p w:rsidR="00D06FCD" w:rsidRDefault="00FE64F8">
      <w:pPr>
        <w:spacing w:after="0" w:line="360" w:lineRule="auto"/>
        <w:rPr>
          <w:rFonts w:ascii="Arial" w:hAnsi="Arial" w:cs="Arial"/>
        </w:rPr>
      </w:pPr>
      <w:r>
        <w:rPr>
          <w:rFonts w:ascii="Arial" w:hAnsi="Arial" w:cs="Arial"/>
          <w:lang w:val="en-US" w:eastAsia="zh-CN"/>
        </w:rPr>
        <w:t xml:space="preserve">· </w:t>
      </w:r>
      <w:r>
        <w:rPr>
          <w:rFonts w:ascii="Arial" w:hAnsi="Arial" w:cs="Arial"/>
          <w:b/>
          <w:bCs/>
          <w:lang w:val="en-US" w:eastAsia="zh-CN"/>
        </w:rPr>
        <w:t xml:space="preserve">Parte III: </w:t>
      </w:r>
      <w:r>
        <w:rPr>
          <w:rFonts w:ascii="Arial" w:hAnsi="Arial" w:cs="Arial"/>
          <w:lang w:val="en-US" w:eastAsia="zh-CN"/>
        </w:rPr>
        <w:t>Interação oral</w:t>
      </w:r>
      <w:r>
        <w:rPr>
          <w:rFonts w:ascii="Arial" w:hAnsi="Arial" w:cs="Arial"/>
          <w:lang w:eastAsia="zh-CN"/>
        </w:rPr>
        <w:t xml:space="preserve"> </w:t>
      </w:r>
      <w:r>
        <w:rPr>
          <w:rFonts w:ascii="Arial" w:hAnsi="Arial" w:cs="Arial"/>
          <w:lang w:val="en-US" w:eastAsia="zh-CN"/>
        </w:rPr>
        <w:t xml:space="preserve">– Realização de uma tarefa e/ou discussão de um tópico referente às áreas de conteúdo temático já mencionadas. </w:t>
      </w:r>
    </w:p>
    <w:p w:rsidR="00D06FCD" w:rsidRDefault="00D06FCD">
      <w:pPr>
        <w:widowControl w:val="0"/>
        <w:autoSpaceDE w:val="0"/>
        <w:autoSpaceDN w:val="0"/>
        <w:adjustRightInd w:val="0"/>
        <w:spacing w:before="8" w:after="0" w:line="360" w:lineRule="auto"/>
        <w:jc w:val="both"/>
        <w:rPr>
          <w:rFonts w:ascii="Arial" w:hAnsi="Arial"/>
        </w:rPr>
      </w:pPr>
    </w:p>
    <w:p w:rsidR="00D06FCD" w:rsidRDefault="00FE64F8">
      <w:pPr>
        <w:widowControl w:val="0"/>
        <w:autoSpaceDE w:val="0"/>
        <w:autoSpaceDN w:val="0"/>
        <w:adjustRightInd w:val="0"/>
        <w:spacing w:before="18" w:after="0" w:line="360" w:lineRule="auto"/>
        <w:jc w:val="both"/>
        <w:rPr>
          <w:rFonts w:ascii="Arial" w:hAnsi="Arial"/>
        </w:rPr>
      </w:pPr>
      <w:r>
        <w:rPr>
          <w:rFonts w:ascii="Arial" w:hAnsi="Arial" w:cs="Arial"/>
          <w:b/>
        </w:rPr>
        <w:t>►</w:t>
      </w:r>
      <w:r>
        <w:rPr>
          <w:rFonts w:ascii="Arial" w:hAnsi="Arial"/>
          <w:b/>
        </w:rPr>
        <w:t>Examinadores:</w:t>
      </w:r>
      <w:r>
        <w:rPr>
          <w:rFonts w:ascii="Arial" w:hAnsi="Arial"/>
        </w:rPr>
        <w:t xml:space="preserve"> Um júri de três examinadores, sendo que um age como interlocutor; dois agem como classificadores apenas. Estes papéis serão, de preferência, desempenhados rotativamente.</w:t>
      </w:r>
    </w:p>
    <w:p w:rsidR="00D06FCD" w:rsidRDefault="00FE64F8">
      <w:pPr>
        <w:widowControl w:val="0"/>
        <w:autoSpaceDE w:val="0"/>
        <w:autoSpaceDN w:val="0"/>
        <w:adjustRightInd w:val="0"/>
        <w:spacing w:before="18" w:after="0" w:line="360" w:lineRule="auto"/>
        <w:jc w:val="both"/>
        <w:rPr>
          <w:rFonts w:ascii="Arial" w:hAnsi="Arial"/>
        </w:rPr>
      </w:pPr>
      <w:r>
        <w:rPr>
          <w:rFonts w:ascii="Arial" w:hAnsi="Arial" w:cs="Arial"/>
          <w:b/>
        </w:rPr>
        <w:t>►</w:t>
      </w:r>
      <w:r>
        <w:rPr>
          <w:rFonts w:ascii="Arial" w:hAnsi="Arial"/>
          <w:b/>
        </w:rPr>
        <w:t>Classificação</w:t>
      </w:r>
      <w:r>
        <w:rPr>
          <w:rFonts w:ascii="Arial" w:hAnsi="Arial"/>
        </w:rPr>
        <w:t>: A classificação de cada atividade obedece a categorias e descritores, de acordo com indicação do Instituto de Avaliação Educativa (IAVE). Existem cinco níveis de desempenho aos quais correspondem cotações fixas e que estão relacionados com os seguintes parâmetros: âmbito ou tema; correção; fluência; desenvolvimento temático e coerência; e interação. A classificação total final corresponde a duzentos pontos.</w:t>
      </w:r>
    </w:p>
    <w:p w:rsidR="00D06FCD" w:rsidRDefault="00FE64F8">
      <w:pPr>
        <w:widowControl w:val="0"/>
        <w:autoSpaceDE w:val="0"/>
        <w:autoSpaceDN w:val="0"/>
        <w:adjustRightInd w:val="0"/>
        <w:spacing w:before="18" w:after="0" w:line="360" w:lineRule="auto"/>
        <w:ind w:firstLine="709"/>
        <w:jc w:val="both"/>
        <w:rPr>
          <w:rFonts w:ascii="Arial" w:hAnsi="Arial"/>
          <w:color w:val="323332"/>
          <w:position w:val="-1"/>
          <w:highlight w:val="yellow"/>
        </w:rPr>
      </w:pPr>
      <w:r>
        <w:rPr>
          <w:rFonts w:ascii="Arial" w:hAnsi="Arial"/>
        </w:rPr>
        <w:t>Os examinadores-classificadores observam a sua prestação analiticamente, preenchendo todas as categorias das grelhas.</w:t>
      </w:r>
    </w:p>
    <w:p w:rsidR="00D06FCD" w:rsidRDefault="00FE64F8">
      <w:pPr>
        <w:widowControl w:val="0"/>
        <w:autoSpaceDE w:val="0"/>
        <w:autoSpaceDN w:val="0"/>
        <w:adjustRightInd w:val="0"/>
        <w:spacing w:before="18" w:after="0" w:line="360" w:lineRule="auto"/>
        <w:jc w:val="both"/>
        <w:rPr>
          <w:rFonts w:ascii="Arial" w:hAnsi="Arial"/>
          <w:color w:val="323332"/>
          <w:position w:val="-1"/>
        </w:rPr>
      </w:pPr>
      <w:r>
        <w:rPr>
          <w:rFonts w:ascii="Arial" w:hAnsi="Arial"/>
          <w:color w:val="323332"/>
          <w:position w:val="-1"/>
        </w:rPr>
        <w:lastRenderedPageBreak/>
        <w:t>A prova oral tem um peso de 30%.</w:t>
      </w:r>
    </w:p>
    <w:p w:rsidR="00D06FCD" w:rsidRDefault="00D06FCD">
      <w:pPr>
        <w:widowControl w:val="0"/>
        <w:autoSpaceDE w:val="0"/>
        <w:autoSpaceDN w:val="0"/>
        <w:adjustRightInd w:val="0"/>
        <w:spacing w:before="18" w:after="0" w:line="360" w:lineRule="auto"/>
        <w:jc w:val="both"/>
        <w:rPr>
          <w:rFonts w:ascii="Arial" w:hAnsi="Arial"/>
          <w:color w:val="323332"/>
          <w:position w:val="-1"/>
        </w:rPr>
      </w:pPr>
    </w:p>
    <w:p w:rsidR="00D06FCD" w:rsidRDefault="00D06FCD">
      <w:pPr>
        <w:widowControl w:val="0"/>
        <w:autoSpaceDE w:val="0"/>
        <w:autoSpaceDN w:val="0"/>
        <w:adjustRightInd w:val="0"/>
        <w:spacing w:before="18" w:after="0" w:line="360" w:lineRule="auto"/>
        <w:jc w:val="both"/>
        <w:rPr>
          <w:rFonts w:ascii="Arial" w:hAnsi="Arial"/>
        </w:rPr>
      </w:pPr>
    </w:p>
    <w:p w:rsidR="00D06FCD" w:rsidRDefault="00FE64F8">
      <w:pPr>
        <w:pStyle w:val="PargrafodaLista"/>
        <w:numPr>
          <w:ilvl w:val="0"/>
          <w:numId w:val="1"/>
        </w:numPr>
        <w:spacing w:line="360" w:lineRule="auto"/>
        <w:rPr>
          <w:rFonts w:ascii="Arial" w:hAnsi="Arial"/>
          <w:b/>
        </w:rPr>
      </w:pPr>
      <w:r>
        <w:rPr>
          <w:rFonts w:ascii="Arial" w:hAnsi="Arial"/>
          <w:b/>
        </w:rPr>
        <w:t>Duração da Prova</w:t>
      </w:r>
    </w:p>
    <w:p w:rsidR="00D06FCD" w:rsidRDefault="00FE64F8">
      <w:pPr>
        <w:spacing w:line="360" w:lineRule="auto"/>
        <w:ind w:firstLine="708"/>
        <w:jc w:val="both"/>
        <w:rPr>
          <w:rFonts w:ascii="Arial" w:hAnsi="Arial"/>
        </w:rPr>
      </w:pPr>
      <w:r>
        <w:rPr>
          <w:rFonts w:ascii="Arial" w:hAnsi="Arial"/>
        </w:rPr>
        <w:t>A prova auditiva/escrita tem a duração de noventa minutos e é seguida, quinze minutos depois, da prova oral. Esta durará até vinte cinco minutos.</w:t>
      </w:r>
    </w:p>
    <w:p w:rsidR="00D06FCD" w:rsidRDefault="00D06FCD">
      <w:pPr>
        <w:spacing w:line="360" w:lineRule="auto"/>
        <w:ind w:firstLine="708"/>
        <w:jc w:val="both"/>
        <w:rPr>
          <w:rFonts w:ascii="Arial" w:hAnsi="Arial"/>
        </w:rPr>
      </w:pPr>
    </w:p>
    <w:p w:rsidR="00D06FCD" w:rsidRDefault="00FE64F8">
      <w:pPr>
        <w:pStyle w:val="PargrafodaLista"/>
        <w:numPr>
          <w:ilvl w:val="0"/>
          <w:numId w:val="1"/>
        </w:numPr>
        <w:spacing w:line="360" w:lineRule="auto"/>
        <w:rPr>
          <w:rFonts w:ascii="Arial" w:hAnsi="Arial"/>
          <w:b/>
        </w:rPr>
      </w:pPr>
      <w:r>
        <w:rPr>
          <w:rFonts w:ascii="Arial" w:hAnsi="Arial"/>
          <w:b/>
        </w:rPr>
        <w:t>Material que pode ser usado na prova</w:t>
      </w:r>
    </w:p>
    <w:p w:rsidR="00D06FCD" w:rsidRDefault="00FE64F8">
      <w:pPr>
        <w:pStyle w:val="PargrafodaLista"/>
        <w:numPr>
          <w:ilvl w:val="0"/>
          <w:numId w:val="5"/>
        </w:numPr>
        <w:spacing w:line="360" w:lineRule="auto"/>
        <w:jc w:val="both"/>
        <w:rPr>
          <w:rFonts w:ascii="Arial" w:hAnsi="Arial"/>
        </w:rPr>
      </w:pPr>
      <w:r>
        <w:rPr>
          <w:rFonts w:ascii="Arial" w:hAnsi="Arial"/>
        </w:rPr>
        <w:t>O examinando apenas pode usar na prova, como material de escrita, caneta ou esferográfica de tinta indelével, azul ou preta.</w:t>
      </w:r>
    </w:p>
    <w:p w:rsidR="00D06FCD" w:rsidRDefault="00FE64F8">
      <w:pPr>
        <w:pStyle w:val="PargrafodaLista"/>
        <w:numPr>
          <w:ilvl w:val="0"/>
          <w:numId w:val="5"/>
        </w:numPr>
        <w:spacing w:line="360" w:lineRule="auto"/>
        <w:jc w:val="both"/>
        <w:rPr>
          <w:rFonts w:ascii="Arial" w:hAnsi="Arial"/>
        </w:rPr>
      </w:pPr>
      <w:r>
        <w:rPr>
          <w:rFonts w:ascii="Arial" w:hAnsi="Arial"/>
        </w:rPr>
        <w:t>As respostas são registadas em folha própria, fornecida pelo estabelecimento de ensino (modelo oficial).</w:t>
      </w:r>
    </w:p>
    <w:p w:rsidR="00D06FCD" w:rsidRDefault="00FE64F8">
      <w:pPr>
        <w:pStyle w:val="PargrafodaLista"/>
        <w:numPr>
          <w:ilvl w:val="0"/>
          <w:numId w:val="5"/>
        </w:numPr>
        <w:spacing w:line="360" w:lineRule="auto"/>
        <w:jc w:val="both"/>
        <w:rPr>
          <w:rFonts w:ascii="Arial" w:hAnsi="Arial"/>
        </w:rPr>
      </w:pPr>
      <w:r>
        <w:rPr>
          <w:rFonts w:ascii="Arial" w:hAnsi="Arial"/>
        </w:rPr>
        <w:t>Não é permitido o uso de corretor.</w:t>
      </w:r>
    </w:p>
    <w:p w:rsidR="00D06FCD" w:rsidRDefault="00D06FCD">
      <w:pPr>
        <w:spacing w:line="360" w:lineRule="auto"/>
        <w:jc w:val="both"/>
        <w:rPr>
          <w:rFonts w:ascii="Arial" w:hAnsi="Arial"/>
        </w:rPr>
      </w:pPr>
    </w:p>
    <w:p w:rsidR="00FE64F8" w:rsidRDefault="00FE64F8">
      <w:pPr>
        <w:spacing w:line="360" w:lineRule="auto"/>
        <w:jc w:val="both"/>
        <w:rPr>
          <w:rFonts w:ascii="Arial" w:hAnsi="Arial"/>
        </w:rPr>
      </w:pPr>
    </w:p>
    <w:sectPr w:rsidR="00FE64F8" w:rsidSect="00D06FCD">
      <w:footerReference w:type="default" r:id="rId9"/>
      <w:pgSz w:w="11906" w:h="16838"/>
      <w:pgMar w:top="720" w:right="720" w:bottom="720" w:left="72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14D" w:rsidRDefault="00F7114D">
      <w:pPr>
        <w:spacing w:after="0" w:line="240" w:lineRule="auto"/>
      </w:pPr>
      <w:r>
        <w:separator/>
      </w:r>
    </w:p>
  </w:endnote>
  <w:endnote w:type="continuationSeparator" w:id="1">
    <w:p w:rsidR="00F7114D" w:rsidRDefault="00F71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TrebuchetMS-Bold">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92B" w:rsidRPr="00671D84" w:rsidRDefault="00FF692B" w:rsidP="00FF692B">
    <w:pPr>
      <w:pStyle w:val="Rodap"/>
      <w:jc w:val="right"/>
      <w:rPr>
        <w:rFonts w:ascii="Times New Roman" w:hAnsi="Times New Roman"/>
        <w:sz w:val="18"/>
        <w:szCs w:val="18"/>
      </w:rPr>
    </w:pPr>
    <w:r>
      <w:rPr>
        <w:rFonts w:ascii="Times New Roman" w:hAnsi="Times New Roman"/>
        <w:sz w:val="18"/>
        <w:szCs w:val="18"/>
      </w:rPr>
      <w:t>Informação Prova de Equivalência à Frequência</w:t>
    </w:r>
    <w:r w:rsidRPr="00671D84">
      <w:rPr>
        <w:rFonts w:ascii="Times New Roman" w:hAnsi="Times New Roman"/>
        <w:sz w:val="18"/>
        <w:szCs w:val="18"/>
      </w:rPr>
      <w:t xml:space="preserve"> – </w:t>
    </w:r>
    <w:r>
      <w:rPr>
        <w:rFonts w:ascii="Times New Roman" w:hAnsi="Times New Roman"/>
        <w:sz w:val="18"/>
        <w:szCs w:val="18"/>
      </w:rPr>
      <w:t>Francês - 365</w:t>
    </w:r>
    <w:r w:rsidRPr="00671D84">
      <w:rPr>
        <w:rFonts w:ascii="Times New Roman" w:hAnsi="Times New Roman"/>
        <w:sz w:val="18"/>
        <w:szCs w:val="18"/>
      </w:rPr>
      <w:t xml:space="preserve"> - </w:t>
    </w:r>
    <w:sdt>
      <w:sdtPr>
        <w:rPr>
          <w:rFonts w:ascii="Times New Roman" w:hAnsi="Times New Roman"/>
          <w:sz w:val="18"/>
          <w:szCs w:val="18"/>
        </w:rPr>
        <w:id w:val="13300991"/>
        <w:docPartObj>
          <w:docPartGallery w:val="Page Numbers (Bottom of Page)"/>
          <w:docPartUnique/>
        </w:docPartObj>
      </w:sdtPr>
      <w:sdtContent>
        <w:sdt>
          <w:sdtPr>
            <w:rPr>
              <w:rFonts w:ascii="Times New Roman" w:hAnsi="Times New Roman"/>
              <w:sz w:val="18"/>
              <w:szCs w:val="18"/>
            </w:rPr>
            <w:id w:val="1389081747"/>
            <w:docPartObj>
              <w:docPartGallery w:val="Page Numbers (Top of Page)"/>
              <w:docPartUnique/>
            </w:docPartObj>
          </w:sdtPr>
          <w:sdtContent>
            <w:r w:rsidRPr="00671D84">
              <w:rPr>
                <w:rFonts w:ascii="Times New Roman" w:hAnsi="Times New Roman"/>
                <w:sz w:val="18"/>
                <w:szCs w:val="18"/>
              </w:rPr>
              <w:t xml:space="preserve">Página </w:t>
            </w:r>
            <w:r w:rsidR="009D2E4D" w:rsidRPr="00671D84">
              <w:rPr>
                <w:rFonts w:ascii="Times New Roman" w:hAnsi="Times New Roman"/>
                <w:b/>
                <w:sz w:val="18"/>
                <w:szCs w:val="18"/>
              </w:rPr>
              <w:fldChar w:fldCharType="begin"/>
            </w:r>
            <w:r w:rsidRPr="00671D84">
              <w:rPr>
                <w:rFonts w:ascii="Times New Roman" w:hAnsi="Times New Roman"/>
                <w:b/>
                <w:sz w:val="18"/>
                <w:szCs w:val="18"/>
              </w:rPr>
              <w:instrText>PAGE</w:instrText>
            </w:r>
            <w:r w:rsidR="009D2E4D" w:rsidRPr="00671D84">
              <w:rPr>
                <w:rFonts w:ascii="Times New Roman" w:hAnsi="Times New Roman"/>
                <w:b/>
                <w:sz w:val="18"/>
                <w:szCs w:val="18"/>
              </w:rPr>
              <w:fldChar w:fldCharType="separate"/>
            </w:r>
            <w:r w:rsidR="002C2090">
              <w:rPr>
                <w:rFonts w:ascii="Times New Roman" w:hAnsi="Times New Roman"/>
                <w:b/>
                <w:noProof/>
                <w:sz w:val="18"/>
                <w:szCs w:val="18"/>
              </w:rPr>
              <w:t>4</w:t>
            </w:r>
            <w:r w:rsidR="009D2E4D" w:rsidRPr="00671D84">
              <w:rPr>
                <w:rFonts w:ascii="Times New Roman" w:hAnsi="Times New Roman"/>
                <w:b/>
                <w:sz w:val="18"/>
                <w:szCs w:val="18"/>
              </w:rPr>
              <w:fldChar w:fldCharType="end"/>
            </w:r>
            <w:r w:rsidRPr="00671D84">
              <w:rPr>
                <w:rFonts w:ascii="Times New Roman" w:hAnsi="Times New Roman"/>
                <w:sz w:val="18"/>
                <w:szCs w:val="18"/>
              </w:rPr>
              <w:t xml:space="preserve"> de </w:t>
            </w:r>
            <w:r w:rsidR="009D2E4D" w:rsidRPr="00671D84">
              <w:rPr>
                <w:rFonts w:ascii="Times New Roman" w:hAnsi="Times New Roman"/>
                <w:b/>
                <w:sz w:val="18"/>
                <w:szCs w:val="18"/>
              </w:rPr>
              <w:fldChar w:fldCharType="begin"/>
            </w:r>
            <w:r w:rsidRPr="00671D84">
              <w:rPr>
                <w:rFonts w:ascii="Times New Roman" w:hAnsi="Times New Roman"/>
                <w:b/>
                <w:sz w:val="18"/>
                <w:szCs w:val="18"/>
              </w:rPr>
              <w:instrText>NUMPAGES</w:instrText>
            </w:r>
            <w:r w:rsidR="009D2E4D" w:rsidRPr="00671D84">
              <w:rPr>
                <w:rFonts w:ascii="Times New Roman" w:hAnsi="Times New Roman"/>
                <w:b/>
                <w:sz w:val="18"/>
                <w:szCs w:val="18"/>
              </w:rPr>
              <w:fldChar w:fldCharType="separate"/>
            </w:r>
            <w:r w:rsidR="002C2090">
              <w:rPr>
                <w:rFonts w:ascii="Times New Roman" w:hAnsi="Times New Roman"/>
                <w:b/>
                <w:noProof/>
                <w:sz w:val="18"/>
                <w:szCs w:val="18"/>
              </w:rPr>
              <w:t>6</w:t>
            </w:r>
            <w:r w:rsidR="009D2E4D" w:rsidRPr="00671D84">
              <w:rPr>
                <w:rFonts w:ascii="Times New Roman" w:hAnsi="Times New Roman"/>
                <w:b/>
                <w:sz w:val="18"/>
                <w:szCs w:val="18"/>
              </w:rPr>
              <w:fldChar w:fldCharType="end"/>
            </w:r>
          </w:sdtContent>
        </w:sdt>
      </w:sdtContent>
    </w:sdt>
  </w:p>
  <w:p w:rsidR="00D06FCD" w:rsidRDefault="00D06FC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14D" w:rsidRDefault="00F7114D">
      <w:pPr>
        <w:spacing w:after="0" w:line="240" w:lineRule="auto"/>
      </w:pPr>
      <w:r>
        <w:separator/>
      </w:r>
    </w:p>
  </w:footnote>
  <w:footnote w:type="continuationSeparator" w:id="1">
    <w:p w:rsidR="00F7114D" w:rsidRDefault="00F7114D">
      <w:pPr>
        <w:spacing w:after="0" w:line="240" w:lineRule="auto"/>
      </w:pPr>
      <w:r>
        <w:continuationSeparator/>
      </w:r>
    </w:p>
  </w:footnote>
  <w:footnote w:id="2">
    <w:p w:rsidR="00D06FCD" w:rsidRDefault="00FE64F8">
      <w:pPr>
        <w:autoSpaceDE w:val="0"/>
        <w:autoSpaceDN w:val="0"/>
        <w:adjustRightInd w:val="0"/>
        <w:spacing w:after="0" w:line="240" w:lineRule="auto"/>
        <w:jc w:val="both"/>
        <w:rPr>
          <w:rFonts w:ascii="Times New Roman" w:hAnsi="Times New Roman"/>
          <w:sz w:val="20"/>
          <w:szCs w:val="20"/>
        </w:rPr>
      </w:pPr>
      <w:r>
        <w:rPr>
          <w:rStyle w:val="Refdenotaderodap"/>
          <w:rFonts w:ascii="Times New Roman" w:hAnsi="Times New Roman"/>
          <w:sz w:val="20"/>
          <w:szCs w:val="20"/>
        </w:rPr>
        <w:footnoteRef/>
      </w:r>
      <w:r>
        <w:rPr>
          <w:rFonts w:ascii="Times New Roman" w:hAnsi="Times New Roman"/>
          <w:sz w:val="20"/>
          <w:szCs w:val="20"/>
        </w:rPr>
        <w:t xml:space="preserve"> Entenda-se por </w:t>
      </w:r>
      <w:r>
        <w:rPr>
          <w:rFonts w:ascii="Times New Roman" w:hAnsi="Times New Roman"/>
          <w:i/>
          <w:iCs/>
          <w:sz w:val="20"/>
          <w:szCs w:val="20"/>
        </w:rPr>
        <w:t xml:space="preserve">atividades linguísticas </w:t>
      </w:r>
      <w:r>
        <w:rPr>
          <w:rFonts w:ascii="Times New Roman" w:hAnsi="Times New Roman"/>
          <w:sz w:val="20"/>
          <w:szCs w:val="20"/>
        </w:rPr>
        <w:t xml:space="preserve">aquelas que «abrangem o exercício da própria competência comunicativa em língua num domínio específico no processamento (receção e/ou produção) de um ou mais textos, com vista à realização de uma tarefa». </w:t>
      </w:r>
      <w:r>
        <w:rPr>
          <w:rFonts w:ascii="Times New Roman" w:hAnsi="Times New Roman"/>
          <w:i/>
          <w:iCs/>
          <w:sz w:val="20"/>
          <w:szCs w:val="20"/>
        </w:rPr>
        <w:t xml:space="preserve">Estratégia </w:t>
      </w:r>
      <w:r>
        <w:rPr>
          <w:rFonts w:ascii="Times New Roman" w:hAnsi="Times New Roman"/>
          <w:sz w:val="20"/>
          <w:szCs w:val="20"/>
        </w:rPr>
        <w:t xml:space="preserve">é «qualquer linha de ação organizada, regulada e com uma finalidade determinada pelo indivíduo para a realização de uma tarefa que ele escolhe ou com a qual se vê confrontado». Uma </w:t>
      </w:r>
      <w:r>
        <w:rPr>
          <w:rFonts w:ascii="Times New Roman" w:hAnsi="Times New Roman"/>
          <w:i/>
          <w:iCs/>
          <w:sz w:val="20"/>
          <w:szCs w:val="20"/>
        </w:rPr>
        <w:t xml:space="preserve">tarefa </w:t>
      </w:r>
      <w:r>
        <w:rPr>
          <w:rFonts w:ascii="Times New Roman" w:hAnsi="Times New Roman"/>
          <w:sz w:val="20"/>
          <w:szCs w:val="20"/>
        </w:rPr>
        <w:t>«é definida como qualquer ação com uma finalidade considerada necessária pelo indivíduo para atingir um dado resultado no contexto da resolução de um problema, do cumprimento de uma obrigação ou da realização de um objetivo», QECR, 2001: 30.</w:t>
      </w:r>
    </w:p>
  </w:footnote>
  <w:footnote w:id="3">
    <w:p w:rsidR="00D06FCD" w:rsidRDefault="00FE64F8">
      <w:pPr>
        <w:pStyle w:val="Textodenotaderodap"/>
        <w:rPr>
          <w:rFonts w:ascii="Times New Roman" w:hAnsi="Times New Roman"/>
        </w:rPr>
      </w:pPr>
      <w:r>
        <w:rPr>
          <w:rStyle w:val="Refdenotaderodap"/>
          <w:rFonts w:ascii="Times New Roman" w:hAnsi="Times New Roman"/>
        </w:rPr>
        <w:footnoteRef/>
      </w:r>
      <w:r>
        <w:rPr>
          <w:rFonts w:ascii="Times New Roman" w:hAnsi="Times New Roman"/>
          <w:i/>
          <w:iCs/>
        </w:rPr>
        <w:t>Id</w:t>
      </w:r>
      <w:r>
        <w:rPr>
          <w:rFonts w:ascii="Times New Roman" w:hAnsi="Times New Roman"/>
        </w:rPr>
        <w:t>.: 25-28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9669"/>
    <w:multiLevelType w:val="singleLevel"/>
    <w:tmpl w:val="DBE59669"/>
    <w:lvl w:ilvl="0">
      <w:start w:val="1"/>
      <w:numFmt w:val="bullet"/>
      <w:lvlText w:val=""/>
      <w:lvlJc w:val="left"/>
      <w:pPr>
        <w:tabs>
          <w:tab w:val="num" w:pos="420"/>
        </w:tabs>
        <w:ind w:left="420" w:hanging="420"/>
      </w:pPr>
      <w:rPr>
        <w:rFonts w:ascii="Wingdings" w:hAnsi="Wingdings" w:hint="default"/>
        <w:sz w:val="18"/>
        <w:szCs w:val="18"/>
      </w:rPr>
    </w:lvl>
  </w:abstractNum>
  <w:abstractNum w:abstractNumId="1">
    <w:nsid w:val="0804105B"/>
    <w:multiLevelType w:val="singleLevel"/>
    <w:tmpl w:val="0804105B"/>
    <w:lvl w:ilvl="0">
      <w:start w:val="1"/>
      <w:numFmt w:val="bullet"/>
      <w:lvlText w:val=""/>
      <w:lvlJc w:val="left"/>
      <w:pPr>
        <w:tabs>
          <w:tab w:val="num" w:pos="420"/>
        </w:tabs>
        <w:ind w:left="420" w:hanging="420"/>
      </w:pPr>
      <w:rPr>
        <w:rFonts w:ascii="Wingdings" w:hAnsi="Wingdings" w:hint="default"/>
        <w:sz w:val="18"/>
        <w:szCs w:val="18"/>
      </w:rPr>
    </w:lvl>
  </w:abstractNum>
  <w:abstractNum w:abstractNumId="2">
    <w:nsid w:val="30A97E6A"/>
    <w:multiLevelType w:val="multilevel"/>
    <w:tmpl w:val="30A97E6A"/>
    <w:lvl w:ilvl="0">
      <w:start w:val="2"/>
      <w:numFmt w:val="bullet"/>
      <w:lvlText w:val="-"/>
      <w:lvlJc w:val="left"/>
      <w:pPr>
        <w:ind w:left="1068" w:hanging="360"/>
      </w:pPr>
      <w:rPr>
        <w:rFonts w:ascii="Times New Roman" w:eastAsia="SimSun" w:hAnsi="Times New Roman" w:cs="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
    <w:nsid w:val="34E20439"/>
    <w:multiLevelType w:val="multilevel"/>
    <w:tmpl w:val="34E20439"/>
    <w:lvl w:ilvl="0">
      <w:start w:val="1"/>
      <w:numFmt w:val="decimal"/>
      <w:lvlText w:val="%1."/>
      <w:lvlJc w:val="left"/>
      <w:pPr>
        <w:ind w:left="644" w:hanging="360"/>
      </w:pPr>
      <w:rPr>
        <w:rFonts w:hint="default"/>
        <w:b/>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699A120B"/>
    <w:multiLevelType w:val="multilevel"/>
    <w:tmpl w:val="699A1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noPunctuationKerning/>
  <w:characterSpacingControl w:val="doNotCompress"/>
  <w:footnotePr>
    <w:footnote w:id="0"/>
    <w:footnote w:id="1"/>
  </w:footnotePr>
  <w:endnotePr>
    <w:endnote w:id="0"/>
    <w:endnote w:id="1"/>
  </w:endnotePr>
  <w:compat>
    <w:doNotLeaveBackslashAlone/>
    <w:doNotExpandShiftReturn/>
    <w:useFELayout/>
  </w:compat>
  <w:rsids>
    <w:rsidRoot w:val="002634A9"/>
    <w:rsid w:val="00006C7C"/>
    <w:rsid w:val="00030F99"/>
    <w:rsid w:val="00047B31"/>
    <w:rsid w:val="00060039"/>
    <w:rsid w:val="00060386"/>
    <w:rsid w:val="00066395"/>
    <w:rsid w:val="000733DC"/>
    <w:rsid w:val="00082274"/>
    <w:rsid w:val="000F0115"/>
    <w:rsid w:val="000F32CD"/>
    <w:rsid w:val="0010051F"/>
    <w:rsid w:val="0012402D"/>
    <w:rsid w:val="001700E5"/>
    <w:rsid w:val="001E00BE"/>
    <w:rsid w:val="001E01E6"/>
    <w:rsid w:val="001F25FF"/>
    <w:rsid w:val="00233C01"/>
    <w:rsid w:val="002634A9"/>
    <w:rsid w:val="00267156"/>
    <w:rsid w:val="00280A88"/>
    <w:rsid w:val="00292915"/>
    <w:rsid w:val="002C2090"/>
    <w:rsid w:val="002D5E67"/>
    <w:rsid w:val="0030073F"/>
    <w:rsid w:val="003130B2"/>
    <w:rsid w:val="00380BE4"/>
    <w:rsid w:val="00393A05"/>
    <w:rsid w:val="003B584C"/>
    <w:rsid w:val="00416318"/>
    <w:rsid w:val="00420542"/>
    <w:rsid w:val="00440DA2"/>
    <w:rsid w:val="00463F31"/>
    <w:rsid w:val="004B1697"/>
    <w:rsid w:val="005F5DD7"/>
    <w:rsid w:val="00645698"/>
    <w:rsid w:val="006909DD"/>
    <w:rsid w:val="00737B09"/>
    <w:rsid w:val="00740B44"/>
    <w:rsid w:val="00741D7B"/>
    <w:rsid w:val="0077008F"/>
    <w:rsid w:val="00782C03"/>
    <w:rsid w:val="00786C47"/>
    <w:rsid w:val="00796C6A"/>
    <w:rsid w:val="007B3C30"/>
    <w:rsid w:val="007C52CF"/>
    <w:rsid w:val="007E19AB"/>
    <w:rsid w:val="007F3201"/>
    <w:rsid w:val="00806C8F"/>
    <w:rsid w:val="00813FD8"/>
    <w:rsid w:val="00840C63"/>
    <w:rsid w:val="00846D99"/>
    <w:rsid w:val="00861944"/>
    <w:rsid w:val="00861B8B"/>
    <w:rsid w:val="00875FC8"/>
    <w:rsid w:val="008C1781"/>
    <w:rsid w:val="00905639"/>
    <w:rsid w:val="00911BD2"/>
    <w:rsid w:val="00966ECA"/>
    <w:rsid w:val="009A30E7"/>
    <w:rsid w:val="009D2E4D"/>
    <w:rsid w:val="009F1F3A"/>
    <w:rsid w:val="009F4407"/>
    <w:rsid w:val="00A355EA"/>
    <w:rsid w:val="00A468F9"/>
    <w:rsid w:val="00B327A1"/>
    <w:rsid w:val="00B55008"/>
    <w:rsid w:val="00B76E37"/>
    <w:rsid w:val="00BC4254"/>
    <w:rsid w:val="00BD7E41"/>
    <w:rsid w:val="00C23B27"/>
    <w:rsid w:val="00C32109"/>
    <w:rsid w:val="00C654CF"/>
    <w:rsid w:val="00C866A7"/>
    <w:rsid w:val="00CD0CF5"/>
    <w:rsid w:val="00CE30EE"/>
    <w:rsid w:val="00D03F48"/>
    <w:rsid w:val="00D06FCD"/>
    <w:rsid w:val="00D14E22"/>
    <w:rsid w:val="00D21DFA"/>
    <w:rsid w:val="00DA45FB"/>
    <w:rsid w:val="00DA5F98"/>
    <w:rsid w:val="00E14A2D"/>
    <w:rsid w:val="00E1691C"/>
    <w:rsid w:val="00E175A6"/>
    <w:rsid w:val="00E90A29"/>
    <w:rsid w:val="00EE15BD"/>
    <w:rsid w:val="00EE2A77"/>
    <w:rsid w:val="00F0192A"/>
    <w:rsid w:val="00F07DE4"/>
    <w:rsid w:val="00F21A21"/>
    <w:rsid w:val="00F23E06"/>
    <w:rsid w:val="00F3393B"/>
    <w:rsid w:val="00F7114D"/>
    <w:rsid w:val="00FB1349"/>
    <w:rsid w:val="00FB2D55"/>
    <w:rsid w:val="00FB2FA3"/>
    <w:rsid w:val="00FE64F8"/>
    <w:rsid w:val="00FF370E"/>
    <w:rsid w:val="00FF401D"/>
    <w:rsid w:val="00FF692B"/>
    <w:rsid w:val="0BE368A6"/>
    <w:rsid w:val="156A0777"/>
    <w:rsid w:val="3DF87221"/>
    <w:rsid w:val="3F363C31"/>
    <w:rsid w:val="629B5C73"/>
    <w:rsid w:val="66FF6A22"/>
    <w:rsid w:val="77245358"/>
    <w:rsid w:val="780450F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D"/>
    <w:pPr>
      <w:spacing w:after="200" w:line="276" w:lineRule="auto"/>
    </w:pPr>
    <w:rPr>
      <w:rFonts w:ascii="Calibri" w:hAnsi="Calibr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Tipodeletrapredefinidodopargrafo"/>
    <w:uiPriority w:val="99"/>
    <w:unhideWhenUsed/>
    <w:rsid w:val="00D06FCD"/>
    <w:rPr>
      <w:vertAlign w:val="superscript"/>
    </w:rPr>
  </w:style>
  <w:style w:type="paragraph" w:styleId="Corpodetexto">
    <w:name w:val="Body Text"/>
    <w:basedOn w:val="Normal"/>
    <w:link w:val="CorpodetextoCarcter"/>
    <w:uiPriority w:val="1"/>
    <w:qFormat/>
    <w:rsid w:val="00D06FCD"/>
    <w:pPr>
      <w:widowControl w:val="0"/>
      <w:spacing w:after="0" w:line="240" w:lineRule="auto"/>
      <w:ind w:left="926" w:hanging="286"/>
    </w:pPr>
    <w:rPr>
      <w:rFonts w:ascii="Times New Roman" w:eastAsia="Times New Roman" w:hAnsi="Times New Roman"/>
      <w:sz w:val="24"/>
      <w:szCs w:val="24"/>
      <w:lang w:val="en-US" w:eastAsia="en-US"/>
    </w:rPr>
  </w:style>
  <w:style w:type="character" w:customStyle="1" w:styleId="CorpodetextoCarcter">
    <w:name w:val="Corpo de texto Carácter"/>
    <w:basedOn w:val="Tipodeletrapredefinidodopargrafo"/>
    <w:link w:val="Corpodetexto"/>
    <w:uiPriority w:val="1"/>
    <w:qFormat/>
    <w:rsid w:val="00D06FCD"/>
    <w:rPr>
      <w:rFonts w:ascii="Times New Roman" w:eastAsia="Times New Roman" w:hAnsi="Times New Roman" w:cs="Times New Roman"/>
      <w:sz w:val="24"/>
      <w:szCs w:val="24"/>
      <w:lang w:val="en-US" w:eastAsia="en-US"/>
    </w:rPr>
  </w:style>
  <w:style w:type="paragraph" w:styleId="Textodebalo">
    <w:name w:val="Balloon Text"/>
    <w:basedOn w:val="Normal"/>
    <w:link w:val="TextodebaloCarcter"/>
    <w:uiPriority w:val="99"/>
    <w:unhideWhenUsed/>
    <w:rsid w:val="00D06FC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06FCD"/>
    <w:rPr>
      <w:rFonts w:ascii="Tahoma" w:hAnsi="Tahoma" w:cs="Tahoma"/>
      <w:sz w:val="16"/>
      <w:szCs w:val="16"/>
    </w:rPr>
  </w:style>
  <w:style w:type="paragraph" w:styleId="Textodenotaderodap">
    <w:name w:val="footnote text"/>
    <w:basedOn w:val="Normal"/>
    <w:link w:val="TextodenotaderodapCarcter"/>
    <w:uiPriority w:val="99"/>
    <w:unhideWhenUsed/>
    <w:rsid w:val="00D06FCD"/>
    <w:pPr>
      <w:spacing w:after="0" w:line="240" w:lineRule="auto"/>
    </w:pPr>
    <w:rPr>
      <w:rFonts w:eastAsia="Calibri"/>
      <w:sz w:val="20"/>
      <w:szCs w:val="20"/>
      <w:lang w:eastAsia="en-US"/>
    </w:rPr>
  </w:style>
  <w:style w:type="character" w:customStyle="1" w:styleId="TextodenotaderodapCarcter">
    <w:name w:val="Texto de nota de rodapé Carácter"/>
    <w:basedOn w:val="Tipodeletrapredefinidodopargrafo"/>
    <w:link w:val="Textodenotaderodap"/>
    <w:uiPriority w:val="99"/>
    <w:qFormat/>
    <w:rsid w:val="00D06FCD"/>
    <w:rPr>
      <w:rFonts w:eastAsia="Calibri"/>
      <w:sz w:val="20"/>
      <w:szCs w:val="20"/>
      <w:lang w:eastAsia="en-US"/>
    </w:rPr>
  </w:style>
  <w:style w:type="paragraph" w:styleId="Rodap">
    <w:name w:val="footer"/>
    <w:basedOn w:val="Normal"/>
    <w:link w:val="RodapCarcter"/>
    <w:uiPriority w:val="99"/>
    <w:unhideWhenUsed/>
    <w:rsid w:val="00D06FC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qFormat/>
    <w:rsid w:val="00D06FCD"/>
  </w:style>
  <w:style w:type="paragraph" w:styleId="Cabealho">
    <w:name w:val="header"/>
    <w:basedOn w:val="Normal"/>
    <w:link w:val="CabealhoCarcter"/>
    <w:uiPriority w:val="99"/>
    <w:unhideWhenUsed/>
    <w:rsid w:val="00D06FC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qFormat/>
    <w:rsid w:val="00D06FCD"/>
  </w:style>
  <w:style w:type="table" w:styleId="Tabelacomgrelha">
    <w:name w:val="Table Grid"/>
    <w:basedOn w:val="Tabelanormal"/>
    <w:uiPriority w:val="59"/>
    <w:rsid w:val="00D06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06FCD"/>
    <w:pPr>
      <w:ind w:left="720"/>
      <w:contextualSpacing/>
    </w:pPr>
  </w:style>
  <w:style w:type="paragraph" w:customStyle="1" w:styleId="Contedodatabela">
    <w:name w:val="Conteúdo da tabela"/>
    <w:basedOn w:val="Normal"/>
    <w:qFormat/>
    <w:rsid w:val="00D06FCD"/>
    <w:pPr>
      <w:suppressLineNumbers/>
      <w:suppressAutoHyphens/>
      <w:spacing w:after="0" w:line="240" w:lineRule="auto"/>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1497</Words>
  <Characters>8090</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Barcoso</cp:lastModifiedBy>
  <cp:revision>5</cp:revision>
  <cp:lastPrinted>2019-04-30T12:49:00Z</cp:lastPrinted>
  <dcterms:created xsi:type="dcterms:W3CDTF">2023-05-15T12:50:00Z</dcterms:created>
  <dcterms:modified xsi:type="dcterms:W3CDTF">2023-05-16T10:49:00Z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2070-11.2.0.11537</vt:lpwstr>
  </property>
  <property fmtid="{D5CDD505-2E9C-101B-9397-08002B2CF9AE}" pid="3" name="ICV">
    <vt:lpwstr>2FDB7830448A4DC9896147B46CFB9F9D</vt:lpwstr>
  </property>
</Properties>
</file>